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E3016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Times New Roman" w:hAnsi="Times New Roman" w:cs="Times New Roman"/>
          <w:b/>
          <w:snapToGrid w:val="0"/>
          <w:color w:val="auto"/>
          <w:spacing w:val="0"/>
          <w:sz w:val="44"/>
          <w:szCs w:val="44"/>
          <w:highlight w:val="none"/>
          <w:lang w:eastAsia="zh-CN"/>
        </w:rPr>
      </w:pPr>
    </w:p>
    <w:p w14:paraId="674A0C8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Times New Roman" w:hAnsi="Times New Roman" w:cs="Times New Roman"/>
          <w:b/>
          <w:snapToGrid w:val="0"/>
          <w:color w:val="auto"/>
          <w:spacing w:val="0"/>
          <w:sz w:val="44"/>
          <w:szCs w:val="44"/>
          <w:highlight w:val="none"/>
          <w:lang w:eastAsia="zh-CN"/>
        </w:rPr>
      </w:pPr>
    </w:p>
    <w:p w14:paraId="3685385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b/>
          <w:snapToGrid w:val="0"/>
          <w:color w:val="auto"/>
          <w:spacing w:val="0"/>
          <w:sz w:val="44"/>
          <w:szCs w:val="44"/>
          <w:highlight w:val="none"/>
          <w:lang w:eastAsia="zh-CN"/>
        </w:rPr>
      </w:pPr>
      <w:r>
        <w:rPr>
          <w:rFonts w:hint="eastAsia" w:ascii="Times New Roman" w:hAnsi="Times New Roman" w:cs="Times New Roman"/>
          <w:b/>
          <w:snapToGrid w:val="0"/>
          <w:color w:val="auto"/>
          <w:spacing w:val="0"/>
          <w:sz w:val="44"/>
          <w:szCs w:val="44"/>
          <w:highlight w:val="none"/>
          <w:lang w:eastAsia="zh-CN"/>
        </w:rPr>
        <w:t>新乐市伏羲台片区1、2号文化用地</w:t>
      </w:r>
    </w:p>
    <w:p w14:paraId="7D493540">
      <w:pPr>
        <w:keepNext w:val="0"/>
        <w:keepLines w:val="0"/>
        <w:pageBreakBefore w:val="0"/>
        <w:widowControl w:val="0"/>
        <w:kinsoku/>
        <w:wordWrap/>
        <w:overflowPunct/>
        <w:topLinePunct w:val="0"/>
        <w:bidi w:val="0"/>
        <w:spacing w:line="360" w:lineRule="auto"/>
        <w:ind w:firstLine="0" w:firstLineChars="0"/>
        <w:jc w:val="center"/>
        <w:textAlignment w:val="auto"/>
        <w:rPr>
          <w:rFonts w:hint="default" w:ascii="Times New Roman" w:hAnsi="Times New Roman" w:cs="Times New Roman"/>
          <w:b/>
          <w:snapToGrid w:val="0"/>
          <w:color w:val="auto"/>
          <w:spacing w:val="0"/>
          <w:sz w:val="72"/>
          <w:szCs w:val="72"/>
          <w:highlight w:val="none"/>
        </w:rPr>
      </w:pPr>
      <w:r>
        <w:rPr>
          <w:rFonts w:hint="default" w:ascii="Times New Roman" w:hAnsi="Times New Roman" w:cs="Times New Roman"/>
          <w:b/>
          <w:snapToGrid w:val="0"/>
          <w:color w:val="auto"/>
          <w:spacing w:val="0"/>
          <w:sz w:val="72"/>
          <w:szCs w:val="72"/>
          <w:highlight w:val="none"/>
        </w:rPr>
        <w:t>土壤污染状况调查报告</w:t>
      </w:r>
    </w:p>
    <w:p w14:paraId="60E9E955">
      <w:pPr>
        <w:keepNext w:val="0"/>
        <w:keepLines w:val="0"/>
        <w:pageBreakBefore w:val="0"/>
        <w:widowControl w:val="0"/>
        <w:wordWrap/>
        <w:bidi w:val="0"/>
        <w:rPr>
          <w:rFonts w:hint="default"/>
          <w:color w:val="auto"/>
          <w:spacing w:val="0"/>
          <w:highlight w:val="yellow"/>
        </w:rPr>
      </w:pPr>
    </w:p>
    <w:p w14:paraId="0DB54AC9">
      <w:pPr>
        <w:keepNext w:val="0"/>
        <w:keepLines w:val="0"/>
        <w:pageBreakBefore w:val="0"/>
        <w:widowControl w:val="0"/>
        <w:wordWrap/>
        <w:bidi w:val="0"/>
        <w:rPr>
          <w:rFonts w:hint="default"/>
          <w:color w:val="auto"/>
          <w:spacing w:val="0"/>
          <w:highlight w:val="yellow"/>
        </w:rPr>
      </w:pPr>
    </w:p>
    <w:p w14:paraId="0D3BAE9C">
      <w:pPr>
        <w:keepNext w:val="0"/>
        <w:keepLines w:val="0"/>
        <w:pageBreakBefore w:val="0"/>
        <w:widowControl w:val="0"/>
        <w:wordWrap/>
        <w:bidi w:val="0"/>
        <w:rPr>
          <w:rFonts w:hint="default"/>
          <w:color w:val="auto"/>
          <w:spacing w:val="0"/>
          <w:highlight w:val="yellow"/>
        </w:rPr>
      </w:pPr>
    </w:p>
    <w:p w14:paraId="6FB01D07">
      <w:pPr>
        <w:keepNext w:val="0"/>
        <w:keepLines w:val="0"/>
        <w:pageBreakBefore w:val="0"/>
        <w:widowControl w:val="0"/>
        <w:wordWrap/>
        <w:bidi w:val="0"/>
        <w:rPr>
          <w:rFonts w:hint="default"/>
          <w:color w:val="auto"/>
          <w:spacing w:val="0"/>
          <w:highlight w:val="yellow"/>
        </w:rPr>
      </w:pPr>
    </w:p>
    <w:p w14:paraId="71052EDB">
      <w:pPr>
        <w:keepNext w:val="0"/>
        <w:keepLines w:val="0"/>
        <w:pageBreakBefore w:val="0"/>
        <w:widowControl w:val="0"/>
        <w:wordWrap/>
        <w:bidi w:val="0"/>
        <w:rPr>
          <w:rFonts w:hint="default"/>
          <w:color w:val="auto"/>
          <w:spacing w:val="0"/>
          <w:highlight w:val="yellow"/>
        </w:rPr>
      </w:pPr>
    </w:p>
    <w:p w14:paraId="2C11F692">
      <w:pPr>
        <w:keepNext w:val="0"/>
        <w:keepLines w:val="0"/>
        <w:pageBreakBefore w:val="0"/>
        <w:widowControl w:val="0"/>
        <w:wordWrap/>
        <w:bidi w:val="0"/>
        <w:rPr>
          <w:rFonts w:hint="default"/>
          <w:color w:val="auto"/>
          <w:spacing w:val="0"/>
          <w:highlight w:val="yellow"/>
        </w:rPr>
      </w:pPr>
    </w:p>
    <w:p w14:paraId="6B71F94D">
      <w:pPr>
        <w:keepNext w:val="0"/>
        <w:keepLines w:val="0"/>
        <w:pageBreakBefore w:val="0"/>
        <w:widowControl w:val="0"/>
        <w:wordWrap/>
        <w:bidi w:val="0"/>
        <w:rPr>
          <w:rFonts w:hint="default"/>
          <w:color w:val="auto"/>
          <w:spacing w:val="0"/>
          <w:highlight w:val="yellow"/>
        </w:rPr>
      </w:pPr>
    </w:p>
    <w:p w14:paraId="243FC055">
      <w:pPr>
        <w:keepNext w:val="0"/>
        <w:keepLines w:val="0"/>
        <w:pageBreakBefore w:val="0"/>
        <w:widowControl w:val="0"/>
        <w:wordWrap/>
        <w:bidi w:val="0"/>
        <w:rPr>
          <w:rFonts w:hint="default"/>
          <w:color w:val="auto"/>
          <w:spacing w:val="0"/>
          <w:highlight w:val="yellow"/>
        </w:rPr>
      </w:pPr>
    </w:p>
    <w:p w14:paraId="16EBF8C8">
      <w:pPr>
        <w:keepNext w:val="0"/>
        <w:keepLines w:val="0"/>
        <w:pageBreakBefore w:val="0"/>
        <w:widowControl w:val="0"/>
        <w:wordWrap/>
        <w:bidi w:val="0"/>
        <w:rPr>
          <w:rFonts w:hint="default"/>
          <w:color w:val="auto"/>
          <w:spacing w:val="0"/>
          <w:highlight w:val="yellow"/>
        </w:rPr>
      </w:pPr>
    </w:p>
    <w:p w14:paraId="6C1E2A0D">
      <w:pPr>
        <w:keepNext w:val="0"/>
        <w:keepLines w:val="0"/>
        <w:pageBreakBefore w:val="0"/>
        <w:widowControl w:val="0"/>
        <w:wordWrap/>
        <w:bidi w:val="0"/>
        <w:rPr>
          <w:rFonts w:hint="default"/>
          <w:color w:val="auto"/>
          <w:spacing w:val="0"/>
          <w:highlight w:val="none"/>
        </w:rPr>
      </w:pPr>
    </w:p>
    <w:p w14:paraId="4440B9A7">
      <w:pPr>
        <w:keepNext w:val="0"/>
        <w:keepLines w:val="0"/>
        <w:pageBreakBefore w:val="0"/>
        <w:widowControl w:val="0"/>
        <w:wordWrap/>
        <w:bidi w:val="0"/>
        <w:rPr>
          <w:rFonts w:hint="default"/>
          <w:color w:val="auto"/>
          <w:spacing w:val="0"/>
          <w:highlight w:val="none"/>
        </w:rPr>
      </w:pPr>
    </w:p>
    <w:p w14:paraId="394A0450">
      <w:pPr>
        <w:keepNext w:val="0"/>
        <w:keepLines w:val="0"/>
        <w:pageBreakBefore w:val="0"/>
        <w:widowControl w:val="0"/>
        <w:wordWrap/>
        <w:bidi w:val="0"/>
        <w:rPr>
          <w:rFonts w:hint="default"/>
          <w:color w:val="auto"/>
          <w:spacing w:val="0"/>
          <w:highlight w:val="none"/>
        </w:rPr>
      </w:pPr>
    </w:p>
    <w:p w14:paraId="54E3B26F">
      <w:pPr>
        <w:bidi w:val="0"/>
        <w:rPr>
          <w:rFonts w:hint="default"/>
          <w:color w:val="auto"/>
          <w:spacing w:val="0"/>
        </w:rPr>
      </w:pPr>
    </w:p>
    <w:p w14:paraId="1CFD5014">
      <w:pPr>
        <w:keepNext w:val="0"/>
        <w:keepLines w:val="0"/>
        <w:pageBreakBefore w:val="0"/>
        <w:widowControl w:val="0"/>
        <w:kinsoku/>
        <w:wordWrap/>
        <w:overflowPunct/>
        <w:topLinePunct w:val="0"/>
        <w:bidi w:val="0"/>
        <w:spacing w:line="360" w:lineRule="auto"/>
        <w:jc w:val="both"/>
        <w:textAlignment w:val="auto"/>
        <w:rPr>
          <w:rFonts w:hint="default" w:ascii="Times New Roman" w:hAnsi="Times New Roman" w:eastAsia="宋体" w:cs="Times New Roman"/>
          <w:b/>
          <w:bCs/>
          <w:color w:val="auto"/>
          <w:spacing w:val="0"/>
          <w:sz w:val="36"/>
          <w:szCs w:val="36"/>
          <w:highlight w:val="none"/>
          <w:lang w:eastAsia="zh-CN"/>
        </w:rPr>
      </w:pPr>
      <w:r>
        <w:rPr>
          <w:rFonts w:hint="default" w:ascii="Times New Roman" w:hAnsi="Times New Roman" w:eastAsia="宋体" w:cs="Times New Roman"/>
          <w:b/>
          <w:bCs/>
          <w:color w:val="auto"/>
          <w:spacing w:val="0"/>
          <w:sz w:val="36"/>
          <w:szCs w:val="36"/>
          <w:highlight w:val="none"/>
        </w:rPr>
        <w:t>委托单位：</w:t>
      </w:r>
      <w:r>
        <w:rPr>
          <w:rFonts w:hint="default" w:ascii="Times New Roman" w:hAnsi="Times New Roman" w:eastAsia="宋体" w:cs="Times New Roman"/>
          <w:b/>
          <w:bCs/>
          <w:color w:val="auto"/>
          <w:spacing w:val="0"/>
          <w:sz w:val="36"/>
          <w:szCs w:val="36"/>
          <w:highlight w:val="none"/>
          <w:lang w:eastAsia="zh-CN"/>
        </w:rPr>
        <w:t>新乐市城市管理综合行政执法局</w:t>
      </w:r>
    </w:p>
    <w:p w14:paraId="4B0CC600">
      <w:pPr>
        <w:keepNext w:val="0"/>
        <w:keepLines w:val="0"/>
        <w:pageBreakBefore w:val="0"/>
        <w:widowControl w:val="0"/>
        <w:kinsoku/>
        <w:wordWrap/>
        <w:overflowPunct/>
        <w:topLinePunct w:val="0"/>
        <w:bidi w:val="0"/>
        <w:spacing w:line="360" w:lineRule="auto"/>
        <w:jc w:val="both"/>
        <w:textAlignment w:val="auto"/>
        <w:rPr>
          <w:rFonts w:hint="default" w:ascii="Times New Roman" w:hAnsi="Times New Roman" w:eastAsia="宋体" w:cs="Times New Roman"/>
          <w:b/>
          <w:bCs/>
          <w:color w:val="auto"/>
          <w:spacing w:val="0"/>
          <w:sz w:val="36"/>
          <w:szCs w:val="36"/>
          <w:highlight w:val="none"/>
          <w:lang w:eastAsia="zh-CN"/>
        </w:rPr>
      </w:pPr>
      <w:r>
        <w:rPr>
          <w:rFonts w:hint="default" w:ascii="Times New Roman" w:hAnsi="Times New Roman" w:eastAsia="宋体" w:cs="Times New Roman"/>
          <w:b/>
          <w:bCs/>
          <w:color w:val="auto"/>
          <w:spacing w:val="0"/>
          <w:sz w:val="36"/>
          <w:szCs w:val="36"/>
          <w:highlight w:val="none"/>
        </w:rPr>
        <w:t>编制单位：</w:t>
      </w:r>
      <w:r>
        <w:rPr>
          <w:rFonts w:hint="default" w:ascii="Times New Roman" w:hAnsi="Times New Roman" w:eastAsia="宋体" w:cs="Times New Roman"/>
          <w:b/>
          <w:bCs/>
          <w:color w:val="auto"/>
          <w:spacing w:val="0"/>
          <w:sz w:val="36"/>
          <w:szCs w:val="36"/>
          <w:highlight w:val="none"/>
          <w:lang w:eastAsia="zh-CN"/>
        </w:rPr>
        <w:t>河北靓源环保工程有限公司</w:t>
      </w:r>
    </w:p>
    <w:p w14:paraId="2E731D33">
      <w:pPr>
        <w:rPr>
          <w:rFonts w:hint="default" w:ascii="Times New Roman" w:hAnsi="Times New Roman" w:eastAsia="宋体" w:cs="Times New Roman"/>
          <w:b/>
          <w:bCs/>
          <w:color w:val="auto"/>
          <w:spacing w:val="0"/>
          <w:sz w:val="36"/>
          <w:szCs w:val="36"/>
          <w:highlight w:val="none"/>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b/>
          <w:bCs/>
          <w:color w:val="auto"/>
          <w:spacing w:val="0"/>
          <w:sz w:val="36"/>
          <w:szCs w:val="36"/>
          <w:highlight w:val="none"/>
        </w:rPr>
        <w:t xml:space="preserve">编制日期：二 〇 二 </w:t>
      </w:r>
      <w:r>
        <w:rPr>
          <w:rFonts w:hint="default" w:ascii="Times New Roman" w:hAnsi="Times New Roman" w:eastAsia="宋体" w:cs="Times New Roman"/>
          <w:b/>
          <w:bCs/>
          <w:color w:val="auto"/>
          <w:spacing w:val="0"/>
          <w:sz w:val="36"/>
          <w:szCs w:val="36"/>
          <w:highlight w:val="none"/>
          <w:lang w:eastAsia="zh-CN"/>
        </w:rPr>
        <w:t>五</w:t>
      </w:r>
      <w:r>
        <w:rPr>
          <w:rFonts w:hint="default" w:ascii="Times New Roman" w:hAnsi="Times New Roman" w:eastAsia="宋体" w:cs="Times New Roman"/>
          <w:b/>
          <w:bCs/>
          <w:color w:val="auto"/>
          <w:spacing w:val="0"/>
          <w:sz w:val="36"/>
          <w:szCs w:val="36"/>
          <w:highlight w:val="none"/>
        </w:rPr>
        <w:t xml:space="preserve"> 年 </w:t>
      </w:r>
      <w:r>
        <w:rPr>
          <w:rFonts w:hint="eastAsia" w:ascii="Times New Roman" w:hAnsi="Times New Roman" w:eastAsia="宋体" w:cs="Times New Roman"/>
          <w:b/>
          <w:bCs/>
          <w:color w:val="auto"/>
          <w:spacing w:val="0"/>
          <w:sz w:val="36"/>
          <w:szCs w:val="36"/>
          <w:highlight w:val="none"/>
          <w:lang w:val="en-US" w:eastAsia="zh-CN"/>
        </w:rPr>
        <w:t>十 二</w:t>
      </w:r>
      <w:r>
        <w:rPr>
          <w:rFonts w:hint="default" w:ascii="Times New Roman" w:hAnsi="Times New Roman" w:eastAsia="宋体" w:cs="Times New Roman"/>
          <w:b/>
          <w:bCs/>
          <w:color w:val="auto"/>
          <w:spacing w:val="0"/>
          <w:sz w:val="36"/>
          <w:szCs w:val="36"/>
          <w:highlight w:val="none"/>
        </w:rPr>
        <w:t xml:space="preserve"> 月</w:t>
      </w:r>
    </w:p>
    <w:p w14:paraId="311CF26A">
      <w:pPr>
        <w:pStyle w:val="5"/>
        <w:keepNext w:val="0"/>
        <w:keepLines w:val="0"/>
        <w:pageBreakBefore w:val="0"/>
        <w:widowControl w:val="0"/>
        <w:wordWrap/>
        <w:bidi w:val="0"/>
        <w:rPr>
          <w:rFonts w:hint="default" w:ascii="Times New Roman" w:hAnsi="Times New Roman" w:cs="Times New Roman"/>
          <w:color w:val="auto"/>
          <w:spacing w:val="0"/>
          <w:highlight w:val="none"/>
          <w:lang w:val="en-US" w:eastAsia="zh-CN"/>
        </w:rPr>
      </w:pPr>
      <w:bookmarkStart w:id="0" w:name="_Toc27508"/>
      <w:bookmarkStart w:id="1" w:name="_Toc2855"/>
      <w:bookmarkStart w:id="2" w:name="_Toc25638"/>
      <w:bookmarkStart w:id="3" w:name="_Toc18003"/>
      <w:bookmarkStart w:id="4" w:name="_Toc32184"/>
      <w:bookmarkStart w:id="5" w:name="_Toc28744"/>
      <w:bookmarkStart w:id="6" w:name="_Toc6266"/>
      <w:bookmarkStart w:id="7" w:name="_Toc1002"/>
      <w:bookmarkStart w:id="8" w:name="_Toc29623"/>
      <w:bookmarkStart w:id="9" w:name="_Toc16545"/>
      <w:bookmarkStart w:id="10" w:name="_Toc8835"/>
      <w:bookmarkStart w:id="11" w:name="_Toc15590"/>
      <w:bookmarkStart w:id="12" w:name="_Toc12755"/>
      <w:bookmarkStart w:id="13" w:name="_Toc14204"/>
      <w:bookmarkStart w:id="14" w:name="_Toc3010"/>
      <w:bookmarkStart w:id="15" w:name="_Toc23686"/>
      <w:r>
        <w:rPr>
          <w:rFonts w:hint="eastAsia" w:ascii="Times New Roman" w:hAnsi="Times New Roman" w:cs="Times New Roman"/>
          <w:color w:val="auto"/>
          <w:spacing w:val="0"/>
          <w:highlight w:val="none"/>
          <w:lang w:val="en-US" w:eastAsia="zh-CN"/>
        </w:rPr>
        <w:t>1、</w:t>
      </w:r>
      <w:r>
        <w:rPr>
          <w:rFonts w:hint="default" w:ascii="Times New Roman" w:hAnsi="Times New Roman" w:cs="Times New Roman"/>
          <w:color w:val="auto"/>
          <w:spacing w:val="0"/>
          <w:highlight w:val="none"/>
          <w:lang w:val="en-US" w:eastAsia="zh-CN"/>
        </w:rPr>
        <w:t>地块概况</w:t>
      </w:r>
    </w:p>
    <w:p w14:paraId="756707D9">
      <w:pPr>
        <w:keepNext w:val="0"/>
        <w:keepLines w:val="0"/>
        <w:pageBreakBefore w:val="0"/>
        <w:widowControl w:val="0"/>
        <w:kinsoku/>
        <w:wordWrap/>
        <w:overflowPunct/>
        <w:topLinePunct w:val="0"/>
        <w:autoSpaceDE/>
        <w:autoSpaceDN/>
        <w:bidi w:val="0"/>
        <w:adjustRightInd w:val="0"/>
        <w:snapToGrid w:val="0"/>
        <w:spacing w:line="490" w:lineRule="exact"/>
        <w:ind w:firstLine="480"/>
        <w:jc w:val="both"/>
        <w:textAlignment w:val="auto"/>
        <w:rPr>
          <w:rFonts w:hint="default" w:ascii="Times New Roman" w:hAnsi="Times New Roman" w:cs="Times New Roman"/>
          <w:color w:val="auto"/>
          <w:spacing w:val="0"/>
          <w:highlight w:val="none"/>
          <w:vertAlign w:val="baseline"/>
          <w:lang w:val="en-US" w:eastAsia="zh-CN"/>
        </w:rPr>
      </w:pPr>
      <w:r>
        <w:rPr>
          <w:rFonts w:hint="eastAsia" w:ascii="Times New Roman" w:hAnsi="Times New Roman" w:eastAsia="宋体" w:cs="Times New Roman"/>
          <w:color w:val="auto"/>
          <w:spacing w:val="0"/>
          <w:sz w:val="24"/>
          <w:szCs w:val="24"/>
          <w:highlight w:val="none"/>
          <w:lang w:eastAsia="zh-CN"/>
        </w:rPr>
        <w:t>新乐市伏羲台片区1、2号文化用地</w:t>
      </w:r>
      <w:r>
        <w:rPr>
          <w:rFonts w:hint="default" w:ascii="Times New Roman" w:hAnsi="Times New Roman" w:eastAsia="宋体" w:cs="Times New Roman"/>
          <w:color w:val="auto"/>
          <w:spacing w:val="0"/>
          <w:sz w:val="24"/>
          <w:szCs w:val="24"/>
          <w:highlight w:val="none"/>
          <w:lang w:eastAsia="zh-CN"/>
        </w:rPr>
        <w:t>位于</w:t>
      </w:r>
      <w:r>
        <w:rPr>
          <w:rFonts w:hint="eastAsia" w:ascii="Times New Roman" w:hAnsi="Times New Roman" w:eastAsia="宋体" w:cs="Times New Roman"/>
          <w:color w:val="auto"/>
          <w:spacing w:val="0"/>
          <w:sz w:val="24"/>
          <w:szCs w:val="24"/>
          <w:highlight w:val="none"/>
          <w:lang w:eastAsia="zh-CN"/>
        </w:rPr>
        <w:t>新乐市</w:t>
      </w:r>
      <w:r>
        <w:rPr>
          <w:rFonts w:hint="eastAsia" w:ascii="Times New Roman" w:hAnsi="Times New Roman" w:eastAsia="宋体" w:cs="Times New Roman"/>
          <w:color w:val="auto"/>
          <w:spacing w:val="0"/>
          <w:sz w:val="24"/>
          <w:szCs w:val="24"/>
          <w:highlight w:val="none"/>
          <w:lang w:val="en-US" w:eastAsia="zh-CN"/>
        </w:rPr>
        <w:t>长寿街道吴家庄村北、何家庄村东，属于冀（2021）新乐市不动产权第0003819号地中的部分区域（相对位置关系见图2.2-1），包含两个地块，总占地面积11238.84</w:t>
      </w:r>
      <w:r>
        <w:rPr>
          <w:rFonts w:hint="default" w:ascii="Times New Roman" w:hAnsi="Times New Roman" w:cs="Times New Roman"/>
          <w:color w:val="auto"/>
          <w:spacing w:val="0"/>
          <w:highlight w:val="none"/>
          <w:lang w:val="en-US" w:eastAsia="zh-CN"/>
        </w:rPr>
        <w:t>m</w:t>
      </w:r>
      <w:r>
        <w:rPr>
          <w:rFonts w:hint="default" w:ascii="Times New Roman" w:hAnsi="Times New Roman" w:cs="Times New Roman"/>
          <w:color w:val="auto"/>
          <w:spacing w:val="0"/>
          <w:highlight w:val="none"/>
          <w:vertAlign w:val="superscript"/>
          <w:lang w:val="en-US" w:eastAsia="zh-CN"/>
        </w:rPr>
        <w:t>2</w:t>
      </w:r>
      <w:r>
        <w:rPr>
          <w:rFonts w:hint="eastAsia" w:ascii="Times New Roman" w:hAnsi="Times New Roman" w:cs="Times New Roman"/>
          <w:color w:val="auto"/>
          <w:spacing w:val="0"/>
          <w:highlight w:val="none"/>
          <w:vertAlign w:val="baseline"/>
          <w:lang w:val="en-US" w:eastAsia="zh-CN"/>
        </w:rPr>
        <w:t>（合16.86亩）</w:t>
      </w:r>
      <w:r>
        <w:rPr>
          <w:rFonts w:hint="eastAsia" w:ascii="Times New Roman" w:hAnsi="Times New Roman" w:eastAsia="宋体" w:cs="Times New Roman"/>
          <w:color w:val="auto"/>
          <w:spacing w:val="0"/>
          <w:sz w:val="24"/>
          <w:szCs w:val="24"/>
          <w:highlight w:val="none"/>
          <w:lang w:val="en-US" w:eastAsia="zh-CN"/>
        </w:rPr>
        <w:t>。地块一</w:t>
      </w:r>
      <w:r>
        <w:rPr>
          <w:rFonts w:hint="default" w:ascii="Times New Roman" w:hAnsi="Times New Roman" w:cs="Times New Roman"/>
          <w:color w:val="auto"/>
          <w:spacing w:val="0"/>
          <w:highlight w:val="none"/>
          <w:lang w:val="en-US" w:eastAsia="zh-CN"/>
        </w:rPr>
        <w:t>占地面积</w:t>
      </w:r>
      <w:r>
        <w:rPr>
          <w:rFonts w:hint="eastAsia" w:ascii="Times New Roman" w:hAnsi="Times New Roman" w:cs="Times New Roman"/>
          <w:color w:val="auto"/>
          <w:spacing w:val="0"/>
          <w:highlight w:val="none"/>
          <w:lang w:val="en-US" w:eastAsia="zh-CN"/>
        </w:rPr>
        <w:t>7494.84</w:t>
      </w:r>
      <w:r>
        <w:rPr>
          <w:rFonts w:hint="default" w:ascii="Times New Roman" w:hAnsi="Times New Roman" w:cs="Times New Roman"/>
          <w:color w:val="auto"/>
          <w:spacing w:val="0"/>
          <w:highlight w:val="none"/>
          <w:lang w:val="en-US" w:eastAsia="zh-CN"/>
        </w:rPr>
        <w:t>m</w:t>
      </w:r>
      <w:r>
        <w:rPr>
          <w:rFonts w:hint="default" w:ascii="Times New Roman" w:hAnsi="Times New Roman" w:cs="Times New Roman"/>
          <w:color w:val="auto"/>
          <w:spacing w:val="0"/>
          <w:highlight w:val="none"/>
          <w:vertAlign w:val="superscript"/>
          <w:lang w:val="en-US" w:eastAsia="zh-CN"/>
        </w:rPr>
        <w:t>2</w:t>
      </w:r>
      <w:r>
        <w:rPr>
          <w:rFonts w:hint="eastAsia" w:ascii="Times New Roman" w:hAnsi="Times New Roman" w:cs="Times New Roman"/>
          <w:color w:val="auto"/>
          <w:spacing w:val="0"/>
          <w:highlight w:val="none"/>
          <w:vertAlign w:val="baseline"/>
          <w:lang w:val="en-US" w:eastAsia="zh-CN"/>
        </w:rPr>
        <w:t>（合11.24亩），</w:t>
      </w:r>
      <w:r>
        <w:rPr>
          <w:rFonts w:hint="eastAsia" w:ascii="Times New Roman" w:hAnsi="Times New Roman" w:eastAsia="宋体" w:cs="Times New Roman"/>
          <w:color w:val="auto"/>
          <w:spacing w:val="0"/>
          <w:highlight w:val="none"/>
          <w:lang w:eastAsia="zh-CN"/>
        </w:rPr>
        <w:t>地块</w:t>
      </w:r>
      <w:r>
        <w:rPr>
          <w:rFonts w:hint="eastAsia" w:ascii="Times New Roman" w:hAnsi="Times New Roman" w:eastAsia="宋体" w:cs="Times New Roman"/>
          <w:color w:val="auto"/>
          <w:spacing w:val="0"/>
          <w:highlight w:val="none"/>
          <w:lang w:val="en-US" w:eastAsia="zh-CN"/>
        </w:rPr>
        <w:t>一四至均为</w:t>
      </w:r>
      <w:r>
        <w:rPr>
          <w:rFonts w:hint="eastAsia" w:ascii="Times New Roman" w:hAnsi="Times New Roman" w:eastAsia="宋体" w:cs="Times New Roman"/>
          <w:color w:val="auto"/>
          <w:spacing w:val="0"/>
          <w:highlight w:val="none"/>
          <w:lang w:eastAsia="zh-CN"/>
        </w:rPr>
        <w:t>新乐市</w:t>
      </w:r>
      <w:r>
        <w:rPr>
          <w:rFonts w:hint="eastAsia" w:ascii="Times New Roman" w:hAnsi="Times New Roman" w:eastAsia="宋体" w:cs="Times New Roman"/>
          <w:color w:val="auto"/>
          <w:spacing w:val="0"/>
          <w:highlight w:val="none"/>
          <w:lang w:val="en-US" w:eastAsia="zh-CN"/>
        </w:rPr>
        <w:t>城市管理综合执法局用地</w:t>
      </w:r>
      <w:r>
        <w:rPr>
          <w:rFonts w:hint="eastAsia" w:ascii="Times New Roman" w:hAnsi="Times New Roman" w:eastAsia="宋体" w:cs="Times New Roman"/>
          <w:color w:val="auto"/>
          <w:spacing w:val="0"/>
          <w:sz w:val="24"/>
          <w:szCs w:val="24"/>
          <w:highlight w:val="none"/>
          <w:lang w:eastAsia="zh-CN"/>
        </w:rPr>
        <w:t>，</w:t>
      </w:r>
      <w:r>
        <w:rPr>
          <w:rFonts w:hint="default" w:ascii="Times New Roman" w:hAnsi="Times New Roman" w:cs="Times New Roman"/>
          <w:color w:val="auto"/>
          <w:spacing w:val="0"/>
          <w:highlight w:val="none"/>
          <w:lang w:val="en-US" w:eastAsia="zh-CN"/>
        </w:rPr>
        <w:t>中心坐标</w:t>
      </w:r>
      <w:r>
        <w:rPr>
          <w:rFonts w:hint="default" w:ascii="Times New Roman" w:hAnsi="Times New Roman" w:cs="Times New Roman"/>
          <w:color w:val="auto"/>
          <w:spacing w:val="0"/>
          <w:sz w:val="24"/>
          <w:szCs w:val="24"/>
          <w:highlight w:val="none"/>
          <w:lang w:eastAsia="zh-CN"/>
        </w:rPr>
        <w:t>为</w:t>
      </w:r>
      <w:r>
        <w:rPr>
          <w:rFonts w:hint="default" w:ascii="Times New Roman" w:hAnsi="Times New Roman" w:cs="Times New Roman"/>
          <w:color w:val="auto"/>
          <w:spacing w:val="0"/>
          <w:sz w:val="24"/>
          <w:szCs w:val="24"/>
          <w:highlight w:val="none"/>
        </w:rPr>
        <w:t>东经114.70819°，北纬38.3787</w:t>
      </w:r>
      <w:r>
        <w:rPr>
          <w:rFonts w:hint="eastAsia" w:ascii="Times New Roman" w:hAnsi="Times New Roman" w:cs="Times New Roman"/>
          <w:color w:val="auto"/>
          <w:spacing w:val="0"/>
          <w:sz w:val="24"/>
          <w:szCs w:val="24"/>
          <w:highlight w:val="none"/>
          <w:lang w:val="en-US" w:eastAsia="zh-CN"/>
        </w:rPr>
        <w:t>1</w:t>
      </w:r>
      <w:r>
        <w:rPr>
          <w:rFonts w:hint="default" w:ascii="Times New Roman" w:hAnsi="Times New Roman" w:cs="Times New Roman"/>
          <w:color w:val="auto"/>
          <w:spacing w:val="0"/>
          <w:sz w:val="24"/>
          <w:szCs w:val="24"/>
          <w:highlight w:val="none"/>
        </w:rPr>
        <w:t>°</w:t>
      </w:r>
      <w:r>
        <w:rPr>
          <w:rFonts w:hint="default" w:ascii="Times New Roman" w:hAnsi="Times New Roman" w:cs="Times New Roman"/>
          <w:color w:val="auto"/>
          <w:spacing w:val="0"/>
          <w:highlight w:val="none"/>
          <w:vertAlign w:val="baseline"/>
          <w:lang w:val="en-US" w:eastAsia="zh-CN"/>
        </w:rPr>
        <w:t>。</w:t>
      </w:r>
      <w:r>
        <w:rPr>
          <w:rFonts w:hint="eastAsia" w:ascii="Times New Roman" w:hAnsi="Times New Roman" w:cs="Times New Roman"/>
          <w:color w:val="auto"/>
          <w:spacing w:val="0"/>
          <w:highlight w:val="none"/>
          <w:vertAlign w:val="baseline"/>
          <w:lang w:val="en-US" w:eastAsia="zh-CN"/>
        </w:rPr>
        <w:t>地块二占地面积3744.00</w:t>
      </w:r>
      <w:r>
        <w:rPr>
          <w:rFonts w:hint="default" w:ascii="Times New Roman" w:hAnsi="Times New Roman" w:cs="Times New Roman"/>
          <w:color w:val="auto"/>
          <w:spacing w:val="0"/>
          <w:highlight w:val="none"/>
          <w:lang w:val="en-US" w:eastAsia="zh-CN"/>
        </w:rPr>
        <w:t>m</w:t>
      </w:r>
      <w:r>
        <w:rPr>
          <w:rFonts w:hint="default" w:ascii="Times New Roman" w:hAnsi="Times New Roman" w:cs="Times New Roman"/>
          <w:color w:val="auto"/>
          <w:spacing w:val="0"/>
          <w:highlight w:val="none"/>
          <w:vertAlign w:val="superscript"/>
          <w:lang w:val="en-US" w:eastAsia="zh-CN"/>
        </w:rPr>
        <w:t>2</w:t>
      </w:r>
      <w:r>
        <w:rPr>
          <w:rFonts w:hint="eastAsia" w:ascii="Times New Roman" w:hAnsi="Times New Roman" w:cs="Times New Roman"/>
          <w:color w:val="auto"/>
          <w:spacing w:val="0"/>
          <w:highlight w:val="none"/>
          <w:vertAlign w:val="baseline"/>
          <w:lang w:val="en-US" w:eastAsia="zh-CN"/>
        </w:rPr>
        <w:t>（合5.62亩），</w:t>
      </w:r>
      <w:r>
        <w:rPr>
          <w:rFonts w:hint="eastAsia" w:ascii="Times New Roman" w:hAnsi="Times New Roman" w:eastAsia="宋体" w:cs="Times New Roman"/>
          <w:color w:val="auto"/>
          <w:spacing w:val="0"/>
          <w:highlight w:val="none"/>
          <w:lang w:eastAsia="zh-CN"/>
        </w:rPr>
        <w:t>地块</w:t>
      </w:r>
      <w:r>
        <w:rPr>
          <w:rFonts w:hint="eastAsia" w:ascii="Times New Roman" w:hAnsi="Times New Roman" w:eastAsia="宋体" w:cs="Times New Roman"/>
          <w:color w:val="auto"/>
          <w:spacing w:val="0"/>
          <w:highlight w:val="none"/>
          <w:lang w:val="en-US" w:eastAsia="zh-CN"/>
        </w:rPr>
        <w:t>二</w:t>
      </w:r>
      <w:r>
        <w:rPr>
          <w:rFonts w:hint="eastAsia" w:ascii="Times New Roman" w:hAnsi="Times New Roman" w:eastAsia="宋体" w:cs="Times New Roman"/>
          <w:color w:val="auto"/>
          <w:spacing w:val="0"/>
          <w:highlight w:val="none"/>
          <w:lang w:eastAsia="zh-CN"/>
        </w:rPr>
        <w:t>东</w:t>
      </w:r>
      <w:r>
        <w:rPr>
          <w:rFonts w:hint="eastAsia" w:ascii="Times New Roman" w:hAnsi="Times New Roman" w:eastAsia="宋体" w:cs="Times New Roman"/>
          <w:color w:val="auto"/>
          <w:spacing w:val="0"/>
          <w:highlight w:val="none"/>
          <w:lang w:val="en-US" w:eastAsia="zh-CN"/>
        </w:rPr>
        <w:t>至吴家庄村集体用地</w:t>
      </w:r>
      <w:r>
        <w:rPr>
          <w:rFonts w:hint="eastAsia" w:ascii="Times New Roman" w:hAnsi="Times New Roman" w:eastAsia="宋体" w:cs="Times New Roman"/>
          <w:color w:val="auto"/>
          <w:spacing w:val="0"/>
          <w:highlight w:val="none"/>
          <w:lang w:eastAsia="zh-CN"/>
        </w:rPr>
        <w:t>，南、</w:t>
      </w:r>
      <w:r>
        <w:rPr>
          <w:rFonts w:hint="eastAsia" w:ascii="Times New Roman" w:hAnsi="Times New Roman" w:eastAsia="宋体" w:cs="Times New Roman"/>
          <w:color w:val="auto"/>
          <w:spacing w:val="0"/>
          <w:highlight w:val="none"/>
          <w:lang w:val="en-US" w:eastAsia="zh-CN"/>
        </w:rPr>
        <w:t>西、北</w:t>
      </w:r>
      <w:r>
        <w:rPr>
          <w:rFonts w:hint="eastAsia" w:ascii="Times New Roman" w:hAnsi="Times New Roman" w:eastAsia="宋体" w:cs="Times New Roman"/>
          <w:color w:val="auto"/>
          <w:spacing w:val="0"/>
          <w:highlight w:val="none"/>
          <w:lang w:eastAsia="zh-CN"/>
        </w:rPr>
        <w:t>至新乐市</w:t>
      </w:r>
      <w:r>
        <w:rPr>
          <w:rFonts w:hint="eastAsia" w:ascii="Times New Roman" w:hAnsi="Times New Roman" w:eastAsia="宋体" w:cs="Times New Roman"/>
          <w:color w:val="auto"/>
          <w:spacing w:val="0"/>
          <w:highlight w:val="none"/>
          <w:lang w:val="en-US" w:eastAsia="zh-CN"/>
        </w:rPr>
        <w:t>城市管理综合执法局用地</w:t>
      </w:r>
      <w:r>
        <w:rPr>
          <w:rFonts w:hint="eastAsia" w:ascii="Times New Roman" w:hAnsi="Times New Roman" w:eastAsia="宋体" w:cs="Times New Roman"/>
          <w:color w:val="auto"/>
          <w:spacing w:val="0"/>
          <w:sz w:val="24"/>
          <w:szCs w:val="24"/>
          <w:highlight w:val="none"/>
          <w:lang w:eastAsia="zh-CN"/>
        </w:rPr>
        <w:t>，</w:t>
      </w:r>
      <w:r>
        <w:rPr>
          <w:rFonts w:hint="default" w:ascii="Times New Roman" w:hAnsi="Times New Roman" w:cs="Times New Roman"/>
          <w:color w:val="auto"/>
          <w:spacing w:val="0"/>
          <w:highlight w:val="none"/>
          <w:lang w:val="en-US" w:eastAsia="zh-CN"/>
        </w:rPr>
        <w:t>中心坐标</w:t>
      </w:r>
      <w:r>
        <w:rPr>
          <w:rFonts w:hint="default" w:ascii="Times New Roman" w:hAnsi="Times New Roman" w:cs="Times New Roman"/>
          <w:color w:val="auto"/>
          <w:spacing w:val="0"/>
          <w:sz w:val="24"/>
          <w:szCs w:val="24"/>
          <w:highlight w:val="none"/>
          <w:lang w:eastAsia="zh-CN"/>
        </w:rPr>
        <w:t>为</w:t>
      </w:r>
      <w:r>
        <w:rPr>
          <w:rFonts w:hint="default" w:ascii="Times New Roman" w:hAnsi="Times New Roman" w:cs="Times New Roman"/>
          <w:color w:val="auto"/>
          <w:spacing w:val="0"/>
          <w:sz w:val="24"/>
          <w:szCs w:val="24"/>
          <w:highlight w:val="none"/>
        </w:rPr>
        <w:t>东经114.7109</w:t>
      </w:r>
      <w:r>
        <w:rPr>
          <w:rFonts w:hint="eastAsia" w:ascii="Times New Roman" w:hAnsi="Times New Roman" w:cs="Times New Roman"/>
          <w:color w:val="auto"/>
          <w:spacing w:val="0"/>
          <w:sz w:val="24"/>
          <w:szCs w:val="24"/>
          <w:highlight w:val="none"/>
          <w:lang w:val="en-US" w:eastAsia="zh-CN"/>
        </w:rPr>
        <w:t>4</w:t>
      </w:r>
      <w:r>
        <w:rPr>
          <w:rFonts w:hint="default" w:ascii="Times New Roman" w:hAnsi="Times New Roman" w:cs="Times New Roman"/>
          <w:color w:val="auto"/>
          <w:spacing w:val="0"/>
          <w:sz w:val="24"/>
          <w:szCs w:val="24"/>
          <w:highlight w:val="none"/>
        </w:rPr>
        <w:t>°，北纬38.37896°</w:t>
      </w:r>
      <w:r>
        <w:rPr>
          <w:rFonts w:hint="default" w:ascii="Times New Roman" w:hAnsi="Times New Roman" w:cs="Times New Roman"/>
          <w:color w:val="auto"/>
          <w:spacing w:val="0"/>
          <w:highlight w:val="none"/>
          <w:vertAlign w:val="baseline"/>
          <w:lang w:val="en-US" w:eastAsia="zh-CN"/>
        </w:rPr>
        <w:t>。</w:t>
      </w:r>
    </w:p>
    <w:p w14:paraId="622765BB">
      <w:pPr>
        <w:keepNext w:val="0"/>
        <w:keepLines w:val="0"/>
        <w:pageBreakBefore w:val="0"/>
        <w:widowControl w:val="0"/>
        <w:kinsoku/>
        <w:wordWrap/>
        <w:overflowPunct/>
        <w:topLinePunct w:val="0"/>
        <w:autoSpaceDE/>
        <w:autoSpaceDN/>
        <w:bidi w:val="0"/>
        <w:adjustRightInd w:val="0"/>
        <w:snapToGrid w:val="0"/>
        <w:spacing w:line="490" w:lineRule="exact"/>
        <w:ind w:firstLine="480"/>
        <w:jc w:val="both"/>
        <w:textAlignment w:val="auto"/>
        <w:rPr>
          <w:rFonts w:hint="default" w:ascii="Times New Roman" w:hAnsi="Times New Roman" w:eastAsia="宋体" w:cs="Times New Roman"/>
          <w:color w:val="auto"/>
          <w:spacing w:val="0"/>
          <w:highlight w:val="none"/>
          <w:vertAlign w:val="baseline"/>
          <w:lang w:val="en-US" w:eastAsia="zh-CN"/>
        </w:rPr>
      </w:pPr>
      <w:r>
        <w:rPr>
          <w:rFonts w:hint="eastAsia" w:ascii="Times New Roman" w:hAnsi="Times New Roman" w:eastAsia="宋体" w:cs="Times New Roman"/>
          <w:color w:val="auto"/>
          <w:spacing w:val="0"/>
          <w:highlight w:val="none"/>
          <w:vertAlign w:val="baseline"/>
          <w:lang w:val="en-US" w:eastAsia="zh-CN"/>
        </w:rPr>
        <w:t>地块一2012年10月之前为农用地，主要种植小麦玉米等，2012年10月至2022年4月部分为农田，部分为林地，2022年4月至今逐渐建成新乐农羲园广场和绿地；地块二2021年5月之前一直为农用地，2021年5月至今为闲置空地，长满杂草。两地块历史上均未进行过任何生产活动。</w:t>
      </w:r>
    </w:p>
    <w:p w14:paraId="246C6C07">
      <w:pPr>
        <w:keepNext w:val="0"/>
        <w:keepLines w:val="0"/>
        <w:pageBreakBefore w:val="0"/>
        <w:widowControl w:val="0"/>
        <w:kinsoku/>
        <w:wordWrap/>
        <w:overflowPunct/>
        <w:topLinePunct w:val="0"/>
        <w:autoSpaceDE/>
        <w:autoSpaceDN/>
        <w:bidi w:val="0"/>
        <w:adjustRightInd w:val="0"/>
        <w:snapToGrid w:val="0"/>
        <w:spacing w:line="490" w:lineRule="exact"/>
        <w:ind w:firstLine="480"/>
        <w:textAlignment w:val="auto"/>
        <w:rPr>
          <w:rFonts w:hint="default" w:ascii="Times New Roman" w:hAnsi="Times New Roman" w:cs="Times New Roman"/>
          <w:snapToGrid w:val="0"/>
          <w:color w:val="auto"/>
          <w:spacing w:val="0"/>
          <w:szCs w:val="22"/>
          <w:highlight w:val="yellow"/>
        </w:rPr>
      </w:pPr>
      <w:r>
        <w:rPr>
          <w:rFonts w:hint="default"/>
          <w:color w:val="auto"/>
          <w:spacing w:val="0"/>
          <w:highlight w:val="none"/>
          <w:lang w:eastAsia="zh-CN"/>
        </w:rPr>
        <w:t>本项目地块</w:t>
      </w:r>
      <w:r>
        <w:rPr>
          <w:rFonts w:hint="eastAsia"/>
          <w:color w:val="auto"/>
          <w:spacing w:val="0"/>
          <w:highlight w:val="none"/>
          <w:lang w:val="en-US" w:eastAsia="zh-CN"/>
        </w:rPr>
        <w:t>当前土地使用权人为新乐市城市管理综合行政执法局，当前</w:t>
      </w:r>
      <w:r>
        <w:rPr>
          <w:rFonts w:hint="default"/>
          <w:color w:val="auto"/>
          <w:spacing w:val="0"/>
          <w:highlight w:val="none"/>
          <w:lang w:eastAsia="zh-CN"/>
        </w:rPr>
        <w:t>用地性质为</w:t>
      </w:r>
      <w:r>
        <w:rPr>
          <w:rFonts w:hint="eastAsia"/>
          <w:color w:val="auto"/>
          <w:spacing w:val="0"/>
          <w:highlight w:val="none"/>
          <w:lang w:val="en-US" w:eastAsia="zh-CN"/>
        </w:rPr>
        <w:t>公园与绿地</w:t>
      </w:r>
      <w:r>
        <w:rPr>
          <w:rFonts w:hint="default"/>
          <w:color w:val="auto"/>
          <w:spacing w:val="0"/>
          <w:highlight w:val="none"/>
          <w:lang w:eastAsia="zh-CN"/>
        </w:rPr>
        <w:t>，</w:t>
      </w:r>
      <w:r>
        <w:rPr>
          <w:rFonts w:hint="eastAsia"/>
          <w:color w:val="auto"/>
          <w:spacing w:val="0"/>
          <w:highlight w:val="none"/>
          <w:lang w:eastAsia="zh-CN"/>
        </w:rPr>
        <w:t>规划用途为</w:t>
      </w:r>
      <w:r>
        <w:rPr>
          <w:rFonts w:hint="eastAsia"/>
          <w:color w:val="auto"/>
          <w:spacing w:val="0"/>
          <w:highlight w:val="none"/>
          <w:lang w:val="en-US" w:eastAsia="zh-CN"/>
        </w:rPr>
        <w:t>公共管理与公共服务用地中的</w:t>
      </w:r>
      <w:r>
        <w:rPr>
          <w:rFonts w:hint="eastAsia" w:ascii="Times New Roman" w:hAnsi="Times New Roman" w:eastAsia="宋体" w:cs="Times New Roman"/>
          <w:color w:val="auto"/>
          <w:spacing w:val="0"/>
          <w:highlight w:val="none"/>
          <w:vertAlign w:val="baseline"/>
          <w:lang w:val="en-US" w:eastAsia="zh-CN"/>
        </w:rPr>
        <w:t>文化用地</w:t>
      </w:r>
      <w:r>
        <w:rPr>
          <w:rFonts w:hint="eastAsia"/>
          <w:color w:val="auto"/>
          <w:spacing w:val="0"/>
          <w:highlight w:val="none"/>
          <w:lang w:eastAsia="zh-CN"/>
        </w:rPr>
        <w:t>。</w:t>
      </w:r>
      <w:r>
        <w:rPr>
          <w:rFonts w:hint="default"/>
          <w:color w:val="auto"/>
          <w:spacing w:val="0"/>
          <w:highlight w:val="none"/>
        </w:rPr>
        <w:t>根据《中华人民共和国土壤污染防治法》第五十九条：用途变更为住宅、公共管理与公共服务用地的，变更前应当按照规定进行土壤污染状况调查。为确保项目地块土壤环境质量满足规</w:t>
      </w:r>
      <w:r>
        <w:rPr>
          <w:rFonts w:hint="default"/>
          <w:color w:val="auto"/>
          <w:spacing w:val="0"/>
          <w:highlight w:val="none"/>
          <w:lang w:eastAsia="zh-CN"/>
        </w:rPr>
        <w:t>划用途的要求，开展了本</w:t>
      </w:r>
      <w:r>
        <w:rPr>
          <w:rFonts w:hint="eastAsia"/>
          <w:color w:val="auto"/>
          <w:spacing w:val="0"/>
          <w:highlight w:val="none"/>
          <w:lang w:eastAsia="zh-CN"/>
        </w:rPr>
        <w:t>次</w:t>
      </w:r>
      <w:r>
        <w:rPr>
          <w:rFonts w:hint="default"/>
          <w:color w:val="auto"/>
          <w:spacing w:val="0"/>
          <w:highlight w:val="none"/>
          <w:lang w:eastAsia="zh-CN"/>
        </w:rPr>
        <w:t>土壤污染状况调查工作。</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14:paraId="4C19DE46">
      <w:pPr>
        <w:pStyle w:val="5"/>
        <w:keepNext w:val="0"/>
        <w:keepLines w:val="0"/>
        <w:pageBreakBefore w:val="0"/>
        <w:widowControl w:val="0"/>
        <w:wordWrap/>
        <w:bidi w:val="0"/>
        <w:rPr>
          <w:rFonts w:hint="default" w:ascii="Times New Roman" w:hAnsi="Times New Roman" w:cs="Times New Roman"/>
          <w:color w:val="auto"/>
          <w:spacing w:val="0"/>
          <w:highlight w:val="none"/>
        </w:rPr>
      </w:pPr>
      <w:bookmarkStart w:id="16" w:name="_Toc30162"/>
      <w:bookmarkStart w:id="17" w:name="_Toc23257"/>
      <w:r>
        <w:rPr>
          <w:rFonts w:hint="default" w:ascii="Times New Roman" w:hAnsi="Times New Roman" w:cs="Times New Roman"/>
          <w:color w:val="auto"/>
          <w:spacing w:val="0"/>
          <w:highlight w:val="none"/>
        </w:rPr>
        <w:t xml:space="preserve">.2 </w:t>
      </w:r>
      <w:bookmarkStart w:id="18" w:name="_Toc5443"/>
      <w:bookmarkStart w:id="19" w:name="_Toc5424"/>
      <w:r>
        <w:rPr>
          <w:rFonts w:hint="default" w:ascii="Times New Roman" w:hAnsi="Times New Roman" w:cs="Times New Roman"/>
          <w:color w:val="auto"/>
          <w:spacing w:val="0"/>
          <w:highlight w:val="none"/>
        </w:rPr>
        <w:t>地块污染识别结论</w:t>
      </w:r>
      <w:bookmarkEnd w:id="16"/>
      <w:bookmarkEnd w:id="17"/>
      <w:bookmarkEnd w:id="18"/>
      <w:bookmarkEnd w:id="19"/>
    </w:p>
    <w:p w14:paraId="601A2482">
      <w:pPr>
        <w:pStyle w:val="7"/>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ascii="Times New Roman" w:hAnsi="Times New Roman" w:cs="Times New Roman"/>
          <w:color w:val="auto"/>
          <w:spacing w:val="0"/>
          <w:kern w:val="2"/>
          <w:szCs w:val="21"/>
          <w:highlight w:val="none"/>
        </w:rPr>
      </w:pPr>
      <w:r>
        <w:rPr>
          <w:rFonts w:hint="default" w:ascii="Times New Roman" w:hAnsi="Times New Roman" w:cs="Times New Roman"/>
          <w:color w:val="auto"/>
          <w:spacing w:val="0"/>
          <w:kern w:val="2"/>
          <w:szCs w:val="21"/>
          <w:highlight w:val="none"/>
        </w:rPr>
        <w:t>本项目地块内及周围区域当前和历史人为活动，均不会对地块内土壤和地下水环境造成污染，</w:t>
      </w:r>
      <w:r>
        <w:rPr>
          <w:rFonts w:hint="default" w:ascii="Times New Roman" w:hAnsi="Times New Roman" w:cs="Times New Roman"/>
          <w:color w:val="auto"/>
          <w:spacing w:val="0"/>
          <w:highlight w:val="none"/>
        </w:rPr>
        <w:t>认为地块的环境状况可以接受，</w:t>
      </w:r>
      <w:r>
        <w:rPr>
          <w:rFonts w:hint="default" w:ascii="Times New Roman" w:hAnsi="Times New Roman" w:cs="Times New Roman"/>
          <w:color w:val="auto"/>
          <w:spacing w:val="0"/>
          <w:kern w:val="2"/>
          <w:szCs w:val="21"/>
          <w:highlight w:val="none"/>
        </w:rPr>
        <w:t>本地块土壤污染状况调查工作可在第一调查阶段完成后结束。</w:t>
      </w:r>
      <w:bookmarkStart w:id="20" w:name="_Toc14629"/>
      <w:bookmarkStart w:id="21" w:name="_Toc27070"/>
    </w:p>
    <w:p w14:paraId="21E3B538">
      <w:pPr>
        <w:pStyle w:val="5"/>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cs="Times New Roman"/>
          <w:color w:val="auto"/>
          <w:spacing w:val="0"/>
          <w:highlight w:val="none"/>
        </w:rPr>
      </w:pPr>
      <w:bookmarkStart w:id="22" w:name="_Toc25823"/>
      <w:bookmarkStart w:id="23" w:name="_Toc16117"/>
      <w:r>
        <w:rPr>
          <w:rFonts w:hint="default" w:ascii="Times New Roman" w:hAnsi="Times New Roman" w:cs="Times New Roman"/>
          <w:color w:val="auto"/>
          <w:spacing w:val="0"/>
          <w:highlight w:val="none"/>
        </w:rPr>
        <w:t>3 地块污染状况调查结论</w:t>
      </w:r>
      <w:bookmarkEnd w:id="20"/>
      <w:bookmarkEnd w:id="21"/>
      <w:bookmarkEnd w:id="22"/>
      <w:bookmarkEnd w:id="23"/>
    </w:p>
    <w:p w14:paraId="527C8292">
      <w:pPr>
        <w:keepNext w:val="0"/>
        <w:keepLines w:val="0"/>
        <w:pageBreakBefore w:val="0"/>
        <w:widowControl w:val="0"/>
        <w:kinsoku/>
        <w:wordWrap/>
        <w:overflowPunct/>
        <w:topLinePunct w:val="0"/>
        <w:autoSpaceDE/>
        <w:autoSpaceDN/>
        <w:bidi w:val="0"/>
        <w:adjustRightInd w:val="0"/>
        <w:snapToGrid w:val="0"/>
        <w:ind w:firstLine="480"/>
        <w:textAlignment w:val="auto"/>
        <w:rPr>
          <w:rFonts w:hint="default" w:ascii="Times New Roman" w:hAnsi="Times New Roman" w:cs="Times New Roman"/>
          <w:color w:val="auto"/>
          <w:spacing w:val="0"/>
          <w:highlight w:val="none"/>
        </w:rPr>
      </w:pPr>
      <w:r>
        <w:rPr>
          <w:rFonts w:hint="default" w:ascii="Times New Roman" w:hAnsi="Times New Roman" w:cs="Times New Roman"/>
          <w:color w:val="auto"/>
          <w:spacing w:val="0"/>
          <w:highlight w:val="none"/>
        </w:rPr>
        <w:t>根据《建设用地土壤污染状况调查技术导则》（HJ25.1-2019），若第一阶段调查确认地块内及周围区域当前和历史上均无可能的污染源，则认为地块的环境状况可以接受，调查活动可以结束。</w:t>
      </w:r>
    </w:p>
    <w:p w14:paraId="7EF7D68A">
      <w:pPr>
        <w:keepNext w:val="0"/>
        <w:keepLines w:val="0"/>
        <w:pageBreakBefore w:val="0"/>
        <w:widowControl w:val="0"/>
        <w:kinsoku/>
        <w:wordWrap/>
        <w:overflowPunct/>
        <w:topLinePunct w:val="0"/>
        <w:autoSpaceDE/>
        <w:autoSpaceDN/>
        <w:bidi w:val="0"/>
        <w:adjustRightInd w:val="0"/>
        <w:snapToGrid w:val="0"/>
        <w:spacing w:line="520" w:lineRule="exact"/>
        <w:ind w:firstLine="480"/>
        <w:textAlignment w:val="auto"/>
        <w:rPr>
          <w:rFonts w:hint="default" w:ascii="Times New Roman" w:hAnsi="Times New Roman" w:cs="Times New Roman"/>
          <w:color w:val="auto"/>
          <w:spacing w:val="0"/>
          <w:highlight w:val="none"/>
        </w:rPr>
      </w:pPr>
      <w:r>
        <w:rPr>
          <w:rFonts w:hint="default" w:ascii="Times New Roman" w:hAnsi="Times New Roman" w:cs="Times New Roman"/>
          <w:color w:val="auto"/>
          <w:spacing w:val="0"/>
          <w:highlight w:val="none"/>
        </w:rPr>
        <w:t>前期污染识别表明，本项目地块内及周围区域当前和历史人为活动，均不会对地块内土壤和地下水环境造成污染，认为地块的环境状况可以接受，本地块土壤污染状况调查工作可在第一调查阶段完成后结束。本地块不属于污染地块，可作为</w:t>
      </w:r>
      <w:r>
        <w:rPr>
          <w:rFonts w:hint="eastAsia" w:ascii="Times New Roman" w:hAnsi="Times New Roman" w:cs="Times New Roman"/>
          <w:color w:val="auto"/>
          <w:spacing w:val="0"/>
          <w:highlight w:val="none"/>
          <w:lang w:val="en-US" w:eastAsia="zh-CN"/>
        </w:rPr>
        <w:t>文化</w:t>
      </w:r>
      <w:r>
        <w:rPr>
          <w:rFonts w:hint="eastAsia" w:ascii="Times New Roman" w:hAnsi="Times New Roman" w:cs="Times New Roman"/>
          <w:color w:val="auto"/>
          <w:spacing w:val="0"/>
          <w:highlight w:val="none"/>
          <w:lang w:eastAsia="zh-CN"/>
        </w:rPr>
        <w:t>用地</w:t>
      </w:r>
      <w:r>
        <w:rPr>
          <w:rFonts w:hint="default" w:ascii="Times New Roman" w:hAnsi="Times New Roman" w:cs="Times New Roman"/>
          <w:color w:val="auto"/>
          <w:spacing w:val="0"/>
          <w:highlight w:val="none"/>
        </w:rPr>
        <w:t>使用。</w:t>
      </w:r>
      <w:bookmarkStart w:id="24" w:name="_GoBack"/>
      <w:bookmarkEnd w:id="24"/>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A32AD3"/>
    <w:rsid w:val="17A32AD3"/>
    <w:rsid w:val="1FC100A4"/>
    <w:rsid w:val="2B6B0121"/>
    <w:rsid w:val="40AC23BC"/>
    <w:rsid w:val="518C5069"/>
    <w:rsid w:val="690F3088"/>
    <w:rsid w:val="70DD3D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line="520" w:lineRule="exact"/>
      <w:ind w:firstLine="883" w:firstLineChars="200"/>
      <w:jc w:val="both"/>
    </w:pPr>
    <w:rPr>
      <w:rFonts w:ascii="Times New Roman" w:hAnsi="Times New Roman" w:eastAsia="宋体" w:cs="Times New Roman"/>
      <w:sz w:val="24"/>
      <w:szCs w:val="24"/>
      <w:lang w:val="en-US" w:eastAsia="zh-CN" w:bidi="ar-SA"/>
    </w:rPr>
  </w:style>
  <w:style w:type="paragraph" w:styleId="2">
    <w:name w:val="heading 1"/>
    <w:basedOn w:val="3"/>
    <w:next w:val="1"/>
    <w:link w:val="11"/>
    <w:qFormat/>
    <w:uiPriority w:val="0"/>
    <w:pPr>
      <w:keepNext/>
      <w:keepLines/>
      <w:snapToGrid w:val="0"/>
      <w:spacing w:line="680" w:lineRule="exact"/>
      <w:ind w:firstLine="0" w:firstLineChars="0"/>
      <w:jc w:val="left"/>
      <w:outlineLvl w:val="0"/>
    </w:pPr>
    <w:rPr>
      <w:rFonts w:ascii="Times New Roman" w:hAnsi="Times New Roman" w:eastAsia="宋体"/>
      <w:bCs/>
      <w:kern w:val="44"/>
      <w:sz w:val="30"/>
      <w:szCs w:val="44"/>
    </w:rPr>
  </w:style>
  <w:style w:type="paragraph" w:styleId="4">
    <w:name w:val="heading 2"/>
    <w:basedOn w:val="2"/>
    <w:next w:val="5"/>
    <w:link w:val="10"/>
    <w:semiHidden/>
    <w:unhideWhenUsed/>
    <w:qFormat/>
    <w:uiPriority w:val="0"/>
    <w:pPr>
      <w:keepNext/>
      <w:keepLines/>
      <w:spacing w:line="360" w:lineRule="auto"/>
      <w:ind w:firstLine="0" w:firstLineChars="0"/>
      <w:outlineLvl w:val="1"/>
    </w:pPr>
    <w:rPr>
      <w:rFonts w:ascii="Times New Roman" w:hAnsi="Times New Roman" w:eastAsia="黑体" w:cstheme="majorBidi"/>
      <w:sz w:val="30"/>
      <w:szCs w:val="25"/>
    </w:rPr>
  </w:style>
  <w:style w:type="paragraph" w:styleId="5">
    <w:name w:val="heading 3"/>
    <w:basedOn w:val="4"/>
    <w:next w:val="6"/>
    <w:semiHidden/>
    <w:unhideWhenUsed/>
    <w:qFormat/>
    <w:uiPriority w:val="0"/>
    <w:pPr>
      <w:spacing w:beforeLines="0" w:afterLines="0" w:line="360" w:lineRule="auto"/>
      <w:outlineLvl w:val="2"/>
    </w:pPr>
    <w:rPr>
      <w:sz w:val="28"/>
    </w:rPr>
  </w:style>
  <w:style w:type="paragraph" w:styleId="6">
    <w:name w:val="heading 4"/>
    <w:basedOn w:val="5"/>
    <w:next w:val="1"/>
    <w:qFormat/>
    <w:uiPriority w:val="0"/>
    <w:pPr>
      <w:keepNext/>
      <w:keepLines/>
      <w:spacing w:before="60" w:after="60" w:line="520" w:lineRule="atLeast"/>
      <w:ind w:firstLine="0" w:firstLineChars="0"/>
      <w:outlineLvl w:val="3"/>
    </w:p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7">
    <w:name w:val="Normal Indent"/>
    <w:basedOn w:val="1"/>
    <w:next w:val="6"/>
    <w:unhideWhenUsed/>
    <w:qFormat/>
    <w:uiPriority w:val="99"/>
    <w:pPr>
      <w:ind w:firstLine="0" w:firstLineChars="0"/>
    </w:pPr>
    <w:rPr>
      <w:rFonts w:ascii="Times New Roman" w:hAnsi="Times New Roman"/>
      <w:szCs w:val="20"/>
    </w:rPr>
  </w:style>
  <w:style w:type="character" w:customStyle="1" w:styleId="10">
    <w:name w:val="标题 2 Char"/>
    <w:link w:val="4"/>
    <w:autoRedefine/>
    <w:qFormat/>
    <w:uiPriority w:val="0"/>
    <w:rPr>
      <w:rFonts w:ascii="Times New Roman" w:hAnsi="Times New Roman" w:eastAsia="宋体" w:cs="Times New Roman"/>
      <w:b/>
      <w:bCs/>
      <w:sz w:val="28"/>
      <w:szCs w:val="44"/>
    </w:rPr>
  </w:style>
  <w:style w:type="character" w:customStyle="1" w:styleId="11">
    <w:name w:val="标题 1 Char"/>
    <w:link w:val="2"/>
    <w:qFormat/>
    <w:uiPriority w:val="0"/>
    <w:rPr>
      <w:rFonts w:ascii="Times New Roman" w:hAnsi="Times New Roman" w:eastAsia="宋体"/>
      <w:b/>
      <w:bCs/>
      <w:kern w:val="44"/>
      <w:sz w:val="30"/>
      <w:szCs w:val="4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2025-12-04T12:01:00Z</dcterms:created>
  <dc:creator>小雨</dc:creator>
  <cp:lastModifiedBy>小雨</cp:lastModifiedBy>
  <dcterms:modified xsi:type="dcterms:W3CDTF">2025-12-04T12:04:30Z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F78BE2586BA84C4582F15205F7475740_11</vt:lpwstr>
  </property>
  <property fmtid="{D5CDD505-2E9C-101B-9397-08002B2CF9AE}" pid="4" name="KSOTemplateDocerSaveRecord">
    <vt:lpwstr>eyJoZGlkIjoiOTlhNDVkNWRkY2QwNmZmODVkNmMwMThkZWFhNmYyNTgiLCJ1c2VySWQiOiI1MDY4NDI4NjMifQ==</vt:lpwstr>
  </property>
</Properties>
</file>