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firstLine="900" w:firstLineChars="300"/>
        <w:rPr>
          <w:rFonts w:hint="eastAsia" w:eastAsia="宋体"/>
          <w:color w:val="auto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b/>
          <w:bCs w:val="0"/>
          <w:color w:val="auto"/>
          <w:position w:val="-54"/>
          <w:sz w:val="22"/>
          <w:szCs w:val="22"/>
          <w:highlight w:val="none"/>
          <w:lang w:val="en-US" w:eastAsia="zh-CN"/>
        </w:rPr>
      </w:pPr>
    </w:p>
    <w:p>
      <w:pPr>
        <w:pStyle w:val="8"/>
        <w:topLinePunct/>
        <w:spacing w:line="1000" w:lineRule="exact"/>
        <w:ind w:firstLine="0" w:firstLineChars="0"/>
        <w:rPr>
          <w:rFonts w:hint="default" w:ascii="Times New Roman" w:hAnsi="Times New Roman" w:eastAsia="宋体" w:cs="Times New Roman"/>
          <w:b/>
          <w:bCs/>
          <w:color w:val="auto"/>
          <w:spacing w:val="20"/>
          <w:sz w:val="48"/>
          <w:szCs w:val="48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pacing w:val="20"/>
          <w:sz w:val="44"/>
          <w:szCs w:val="44"/>
          <w:lang w:eastAsia="zh-CN"/>
        </w:rPr>
        <w:t>河北吴桥杂技艺术学校扩建项目地块</w:t>
      </w:r>
    </w:p>
    <w:p>
      <w:pPr>
        <w:pStyle w:val="8"/>
        <w:topLinePunct/>
        <w:spacing w:line="1000" w:lineRule="exact"/>
        <w:ind w:firstLine="0" w:firstLineChars="0"/>
        <w:rPr>
          <w:rFonts w:hint="eastAsia" w:ascii="宋体" w:hAnsi="宋体" w:eastAsia="宋体" w:cs="宋体"/>
          <w:b/>
          <w:bCs/>
          <w:color w:val="auto"/>
          <w:spacing w:val="20"/>
          <w:sz w:val="56"/>
          <w:szCs w:val="56"/>
          <w:highlight w:val="yellow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pacing w:val="20"/>
          <w:sz w:val="48"/>
          <w:szCs w:val="48"/>
          <w:lang w:eastAsia="zh-CN"/>
        </w:rPr>
        <w:t>土壤污染状况调查报告</w:t>
      </w:r>
    </w:p>
    <w:p>
      <w:pPr>
        <w:tabs>
          <w:tab w:val="left" w:pos="3456"/>
        </w:tabs>
        <w:spacing w:before="240" w:beforeLines="100" w:line="240" w:lineRule="auto"/>
        <w:ind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highlight w:val="none"/>
        </w:rPr>
        <w:t>（</w:t>
      </w:r>
      <w:r>
        <w:rPr>
          <w:rFonts w:hint="eastAsia" w:ascii="Times New Roman" w:hAnsi="Times New Roman" w:eastAsia="宋体" w:cs="Times New Roman"/>
          <w:b/>
          <w:bCs/>
          <w:color w:val="auto"/>
          <w:sz w:val="36"/>
          <w:szCs w:val="36"/>
          <w:highlight w:val="none"/>
          <w:lang w:eastAsia="zh-CN"/>
        </w:rPr>
        <w:t>公示本</w:t>
      </w:r>
      <w:r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highlight w:val="none"/>
        </w:rPr>
        <w:t>）</w:t>
      </w:r>
    </w:p>
    <w:p>
      <w:pPr>
        <w:pStyle w:val="8"/>
        <w:topLinePunct/>
        <w:spacing w:line="360" w:lineRule="auto"/>
        <w:ind w:firstLine="0" w:firstLineChars="0"/>
        <w:rPr>
          <w:rFonts w:hint="eastAsia" w:ascii="Times New Roman" w:hAnsi="Times New Roman" w:eastAsia="宋体" w:cs="Times New Roman"/>
          <w:b/>
          <w:color w:val="auto"/>
          <w:spacing w:val="20"/>
          <w:sz w:val="72"/>
          <w:szCs w:val="72"/>
          <w:highlight w:val="yellow"/>
          <w:lang w:eastAsia="zh-CN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ind w:firstLine="480"/>
        <w:rPr>
          <w:rFonts w:cs="Times New Roman"/>
          <w:color w:val="auto"/>
          <w:highlight w:val="yellow"/>
        </w:rPr>
      </w:pPr>
    </w:p>
    <w:p>
      <w:pPr>
        <w:pStyle w:val="15"/>
        <w:rPr>
          <w:rFonts w:ascii="Times New Roman" w:cs="Times New Roman"/>
          <w:color w:val="auto"/>
          <w:highlight w:val="yellow"/>
        </w:rPr>
      </w:pPr>
    </w:p>
    <w:p>
      <w:pPr>
        <w:pStyle w:val="12"/>
        <w:widowControl w:val="0"/>
        <w:topLinePunct/>
        <w:snapToGrid w:val="0"/>
        <w:spacing w:before="0" w:beforeAutospacing="0" w:after="0" w:afterAutospacing="0" w:line="360" w:lineRule="auto"/>
        <w:ind w:firstLine="964" w:firstLineChars="300"/>
        <w:rPr>
          <w:rFonts w:hint="eastAsia" w:ascii="Times New Roman" w:hAnsi="Times New Roman" w:eastAsia="宋体" w:cs="Times New Roman"/>
          <w:b/>
          <w:color w:val="auto"/>
          <w:kern w:val="2"/>
          <w:sz w:val="32"/>
          <w:szCs w:val="32"/>
          <w:highlight w:val="none"/>
          <w:lang w:eastAsia="zh-CN"/>
        </w:rPr>
      </w:pPr>
      <w:r>
        <w:rPr>
          <w:rFonts w:ascii="Times New Roman" w:hAnsi="Times New Roman" w:cs="Times New Roman"/>
          <w:b/>
          <w:color w:val="auto"/>
          <w:kern w:val="2"/>
          <w:sz w:val="32"/>
          <w:szCs w:val="32"/>
          <w:highlight w:val="none"/>
        </w:rPr>
        <w:t>委托单位：</w:t>
      </w:r>
      <w:r>
        <w:rPr>
          <w:rFonts w:hint="eastAsia" w:ascii="Times New Roman" w:hAnsi="Times New Roman" w:cs="Times New Roman"/>
          <w:b/>
          <w:color w:val="auto"/>
          <w:kern w:val="2"/>
          <w:sz w:val="32"/>
          <w:szCs w:val="32"/>
          <w:highlight w:val="none"/>
          <w:lang w:eastAsia="zh-CN"/>
        </w:rPr>
        <w:t>河北吴桥杂技艺术学校</w:t>
      </w:r>
    </w:p>
    <w:p>
      <w:pPr>
        <w:pStyle w:val="12"/>
        <w:widowControl w:val="0"/>
        <w:topLinePunct/>
        <w:snapToGrid w:val="0"/>
        <w:spacing w:before="0" w:beforeAutospacing="0" w:after="0" w:afterAutospacing="0" w:line="360" w:lineRule="auto"/>
        <w:ind w:firstLine="964" w:firstLineChars="300"/>
        <w:rPr>
          <w:rFonts w:hint="eastAsia" w:ascii="Times New Roman" w:hAnsi="Times New Roman" w:eastAsia="宋体" w:cs="Times New Roman"/>
          <w:b/>
          <w:color w:val="auto"/>
          <w:kern w:val="2"/>
          <w:sz w:val="32"/>
          <w:szCs w:val="32"/>
          <w:highlight w:val="none"/>
          <w:lang w:eastAsia="zh-CN"/>
        </w:rPr>
      </w:pPr>
      <w:r>
        <w:rPr>
          <w:rFonts w:ascii="Times New Roman" w:hAnsi="Times New Roman" w:cs="Times New Roman"/>
          <w:b/>
          <w:color w:val="auto"/>
          <w:kern w:val="2"/>
          <w:sz w:val="32"/>
          <w:szCs w:val="32"/>
          <w:highlight w:val="none"/>
        </w:rPr>
        <w:t>编制单位：</w:t>
      </w:r>
      <w:r>
        <w:rPr>
          <w:rFonts w:hint="eastAsia" w:ascii="Times New Roman" w:hAnsi="Times New Roman" w:cs="Times New Roman"/>
          <w:b/>
          <w:color w:val="auto"/>
          <w:kern w:val="2"/>
          <w:sz w:val="32"/>
          <w:szCs w:val="32"/>
          <w:highlight w:val="none"/>
          <w:lang w:eastAsia="zh-CN"/>
        </w:rPr>
        <w:t>河北靓源环保工程有限公司</w:t>
      </w:r>
    </w:p>
    <w:p>
      <w:pPr>
        <w:spacing w:line="360" w:lineRule="auto"/>
        <w:ind w:left="0" w:leftChars="0" w:firstLine="964" w:firstLineChars="300"/>
        <w:rPr>
          <w:rFonts w:ascii="Times New Roman" w:hAnsi="Times New Roman" w:cs="Times New Roman"/>
          <w:color w:val="auto"/>
          <w:sz w:val="30"/>
          <w:szCs w:val="30"/>
        </w:rPr>
      </w:pPr>
      <w:r>
        <w:rPr>
          <w:rFonts w:ascii="Times New Roman" w:hAnsi="Times New Roman" w:cs="Times New Roman"/>
          <w:b/>
          <w:color w:val="auto"/>
          <w:kern w:val="2"/>
          <w:sz w:val="32"/>
          <w:szCs w:val="32"/>
          <w:highlight w:val="none"/>
        </w:rPr>
        <w:t xml:space="preserve">编制日期：二 〇 二 </w:t>
      </w:r>
      <w:r>
        <w:rPr>
          <w:rFonts w:hint="eastAsia" w:ascii="Times New Roman" w:hAnsi="Times New Roman" w:cs="Times New Roman"/>
          <w:b/>
          <w:color w:val="auto"/>
          <w:kern w:val="2"/>
          <w:sz w:val="32"/>
          <w:szCs w:val="32"/>
          <w:highlight w:val="none"/>
          <w:lang w:eastAsia="zh-CN"/>
        </w:rPr>
        <w:t>二</w:t>
      </w:r>
      <w:r>
        <w:rPr>
          <w:rFonts w:ascii="Times New Roman" w:hAnsi="Times New Roman" w:cs="Times New Roman"/>
          <w:b/>
          <w:color w:val="auto"/>
          <w:kern w:val="2"/>
          <w:sz w:val="32"/>
          <w:szCs w:val="32"/>
          <w:highlight w:val="none"/>
        </w:rPr>
        <w:t xml:space="preserve"> 年 </w:t>
      </w:r>
      <w:r>
        <w:rPr>
          <w:rFonts w:hint="eastAsia" w:cs="Times New Roman"/>
          <w:b/>
          <w:color w:val="auto"/>
          <w:kern w:val="2"/>
          <w:sz w:val="32"/>
          <w:szCs w:val="32"/>
          <w:highlight w:val="none"/>
          <w:lang w:eastAsia="zh-CN"/>
        </w:rPr>
        <w:t>十</w:t>
      </w:r>
      <w:r>
        <w:rPr>
          <w:rFonts w:hint="eastAsia" w:cs="Times New Roman"/>
          <w:b/>
          <w:color w:val="auto"/>
          <w:kern w:val="2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cs="Times New Roman"/>
          <w:b/>
          <w:color w:val="auto"/>
          <w:kern w:val="2"/>
          <w:sz w:val="32"/>
          <w:szCs w:val="32"/>
          <w:highlight w:val="none"/>
          <w:lang w:eastAsia="zh-CN"/>
        </w:rPr>
        <w:t>二</w:t>
      </w:r>
      <w:r>
        <w:rPr>
          <w:rFonts w:ascii="Times New Roman" w:hAnsi="Times New Roman" w:cs="Times New Roman"/>
          <w:b/>
          <w:color w:val="auto"/>
          <w:kern w:val="2"/>
          <w:sz w:val="32"/>
          <w:szCs w:val="32"/>
          <w:highlight w:val="none"/>
        </w:rPr>
        <w:t xml:space="preserve"> 月</w:t>
      </w:r>
    </w:p>
    <w:p>
      <w:pPr>
        <w:tabs>
          <w:tab w:val="left" w:pos="1803"/>
        </w:tabs>
        <w:bidi w:val="0"/>
        <w:jc w:val="left"/>
        <w:rPr>
          <w:color w:val="auto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5"/>
        <w:rPr>
          <w:rFonts w:hint="default" w:ascii="Times New Roman" w:hAnsi="Times New Roman" w:cs="Times New Roman"/>
          <w:color w:val="auto"/>
          <w:highlight w:val="none"/>
        </w:rPr>
      </w:pPr>
      <w:bookmarkStart w:id="0" w:name="_Toc9131"/>
      <w:bookmarkStart w:id="1" w:name="_Toc15590"/>
      <w:bookmarkStart w:id="2" w:name="_Toc28744"/>
      <w:bookmarkStart w:id="3" w:name="_Toc3010"/>
      <w:bookmarkStart w:id="4" w:name="_Toc32184"/>
      <w:bookmarkStart w:id="5" w:name="_Toc27508"/>
      <w:bookmarkStart w:id="6" w:name="_Toc1002"/>
      <w:bookmarkStart w:id="7" w:name="_Toc18003"/>
      <w:bookmarkStart w:id="8" w:name="_Toc10094"/>
      <w:bookmarkStart w:id="9" w:name="_Toc29623"/>
      <w:bookmarkStart w:id="10" w:name="_Toc16545"/>
      <w:bookmarkStart w:id="11" w:name="_Toc6266"/>
      <w:r>
        <w:rPr>
          <w:rFonts w:hint="default" w:ascii="Times New Roman" w:hAnsi="Times New Roman" w:cs="Times New Roman"/>
          <w:color w:val="auto"/>
          <w:highlight w:val="none"/>
        </w:rPr>
        <w:t xml:space="preserve">1 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企业</w:t>
      </w:r>
      <w:r>
        <w:rPr>
          <w:rFonts w:hint="default" w:ascii="Times New Roman" w:hAnsi="Times New Roman" w:cs="Times New Roman"/>
          <w:color w:val="auto"/>
          <w:highlight w:val="none"/>
        </w:rPr>
        <w:t>概况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Times New Roman" w:hAnsi="Times New Roman" w:cs="Times New Roman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12" w:name="_Toc11747"/>
      <w:bookmarkStart w:id="13" w:name="_Toc1734"/>
      <w:bookmarkStart w:id="14" w:name="_Toc24902"/>
      <w:bookmarkStart w:id="15" w:name="_Toc31102"/>
      <w:bookmarkStart w:id="16" w:name="_Toc23754"/>
      <w:bookmarkStart w:id="17" w:name="_Toc25999"/>
      <w:bookmarkStart w:id="18" w:name="_Toc23724"/>
      <w:bookmarkStart w:id="19" w:name="_Toc21244"/>
      <w:bookmarkStart w:id="20" w:name="_Toc22210"/>
      <w:bookmarkStart w:id="21" w:name="_Toc11857"/>
      <w:bookmarkStart w:id="22" w:name="_Toc18210"/>
      <w:bookmarkStart w:id="23" w:name="_Toc24935"/>
      <w:r>
        <w:rPr>
          <w:rFonts w:hint="default" w:ascii="Times New Roman" w:hAnsi="Times New Roman" w:cs="Times New Roman"/>
          <w:color w:val="auto"/>
          <w:lang w:eastAsia="zh-CN"/>
        </w:rPr>
        <w:t>河北吴桥杂技艺术学校扩建项目地块</w:t>
      </w:r>
      <w:r>
        <w:rPr>
          <w:rFonts w:hint="default" w:ascii="Times New Roman" w:hAnsi="Times New Roman" w:eastAsia="宋体" w:cs="Times New Roman"/>
          <w:color w:val="auto"/>
        </w:rPr>
        <w:t>位</w:t>
      </w:r>
      <w:r>
        <w:rPr>
          <w:rFonts w:hint="default" w:ascii="Times New Roman" w:hAnsi="Times New Roman" w:eastAsia="宋体" w:cs="Times New Roman"/>
          <w:color w:val="auto"/>
          <w:highlight w:val="none"/>
        </w:rPr>
        <w:t>于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沧州市吴桥县民生大道与香江路交口东南，河北吴桥杂技艺术学校北侧、天山道西侧、珠峰道东侧、辽河路南侧</w:t>
      </w:r>
      <w:r>
        <w:rPr>
          <w:rFonts w:hint="default" w:ascii="Times New Roman" w:hAnsi="Times New Roman" w:eastAsia="宋体" w:cs="Times New Roman"/>
          <w:color w:val="auto"/>
        </w:rPr>
        <w:t>，地块占地面积</w:t>
      </w:r>
      <w:r>
        <w:rPr>
          <w:rFonts w:hint="default" w:ascii="Times New Roman" w:hAnsi="Times New Roman" w:cs="Times New Roman"/>
          <w:color w:val="auto"/>
          <w:lang w:val="en-US" w:eastAsia="zh-CN"/>
        </w:rPr>
        <w:t>42898.0</w:t>
      </w:r>
      <w:r>
        <w:rPr>
          <w:rFonts w:hint="default" w:ascii="Times New Roman" w:hAnsi="Times New Roman" w:eastAsia="宋体" w:cs="Times New Roman"/>
          <w:color w:val="auto"/>
        </w:rPr>
        <w:t>m²（约合</w:t>
      </w:r>
      <w:r>
        <w:rPr>
          <w:rFonts w:hint="default" w:ascii="Times New Roman" w:hAnsi="Times New Roman" w:cs="Times New Roman"/>
          <w:color w:val="auto"/>
          <w:lang w:val="en-US" w:eastAsia="zh-CN"/>
        </w:rPr>
        <w:t>64.35</w:t>
      </w:r>
      <w:r>
        <w:rPr>
          <w:rFonts w:hint="default" w:ascii="Times New Roman" w:hAnsi="Times New Roman" w:eastAsia="宋体" w:cs="Times New Roman"/>
          <w:color w:val="auto"/>
        </w:rPr>
        <w:t>亩）</w:t>
      </w:r>
      <w:r>
        <w:rPr>
          <w:rFonts w:hint="default" w:ascii="Times New Roman" w:hAnsi="Times New Roman" w:cs="Times New Roman"/>
          <w:color w:val="auto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auto"/>
        </w:rPr>
        <w:t>地块</w:t>
      </w:r>
      <w:r>
        <w:rPr>
          <w:rFonts w:hint="default" w:ascii="Times New Roman" w:hAnsi="Times New Roman" w:cs="Times New Roman"/>
          <w:color w:val="auto"/>
          <w:lang w:val="en-US" w:eastAsia="zh-CN"/>
        </w:rPr>
        <w:t>历史上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一直</w:t>
      </w:r>
      <w:r>
        <w:rPr>
          <w:rFonts w:hint="eastAsia" w:cs="Times New Roman"/>
          <w:color w:val="auto"/>
          <w:lang w:eastAsia="zh-CN"/>
        </w:rPr>
        <w:t>大部分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为</w:t>
      </w:r>
      <w:r>
        <w:rPr>
          <w:rFonts w:hint="default" w:ascii="Times New Roman" w:hAnsi="Times New Roman" w:cs="Times New Roman"/>
          <w:color w:val="auto"/>
          <w:lang w:eastAsia="zh-CN"/>
        </w:rPr>
        <w:t>农田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。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该地块</w:t>
      </w:r>
      <w:r>
        <w:rPr>
          <w:rFonts w:hint="default" w:ascii="Times New Roman" w:hAnsi="Times New Roman" w:cs="Times New Roman"/>
          <w:color w:val="auto"/>
          <w:lang w:eastAsia="zh-CN"/>
        </w:rPr>
        <w:t>规划用地性质为教育科研用地，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拟作为</w:t>
      </w:r>
      <w:r>
        <w:rPr>
          <w:rFonts w:hint="default" w:ascii="Times New Roman" w:hAnsi="Times New Roman" w:cs="Times New Roman"/>
          <w:color w:val="auto"/>
          <w:lang w:eastAsia="zh-CN"/>
        </w:rPr>
        <w:t>河北吴桥杂技艺术学校扩建项目</w:t>
      </w:r>
      <w:r>
        <w:rPr>
          <w:rFonts w:hint="default" w:ascii="Times New Roman" w:hAnsi="Times New Roman" w:cs="Times New Roman"/>
          <w:color w:val="auto"/>
          <w:lang w:val="en-US" w:eastAsia="zh-CN"/>
        </w:rPr>
        <w:t>建设用地使用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/>
        <w:textAlignment w:val="auto"/>
        <w:rPr>
          <w:color w:val="auto"/>
        </w:rPr>
      </w:pPr>
      <w:r>
        <w:rPr>
          <w:rFonts w:hint="default" w:ascii="Times New Roman" w:hAnsi="Times New Roman" w:cs="Times New Roman"/>
          <w:color w:val="auto"/>
        </w:rPr>
        <w:t>根据《中华人民共和国土壤污染防治法》第五十九条</w:t>
      </w:r>
      <w:r>
        <w:rPr>
          <w:rFonts w:hint="default" w:ascii="Times New Roman" w:hAnsi="Times New Roman" w:cs="Times New Roman"/>
          <w:color w:val="auto"/>
          <w:lang w:val="en-US" w:eastAsia="zh-CN"/>
        </w:rPr>
        <w:t>第二款之规定</w:t>
      </w:r>
      <w:r>
        <w:rPr>
          <w:rFonts w:hint="default" w:ascii="Times New Roman" w:hAnsi="Times New Roman" w:cs="Times New Roman"/>
          <w:color w:val="auto"/>
        </w:rPr>
        <w:t>：用途变更为住宅、公共管理与公共服务用地的，变更前应当按照规定进行土壤污染状况调查。</w:t>
      </w:r>
      <w:r>
        <w:rPr>
          <w:rFonts w:hint="default" w:ascii="Times New Roman" w:hAnsi="Times New Roman" w:cs="Times New Roman"/>
          <w:color w:val="auto"/>
          <w:lang w:eastAsia="zh-CN"/>
        </w:rPr>
        <w:t>河北吴桥杂技艺术学校扩建项目地块</w:t>
      </w:r>
      <w:r>
        <w:rPr>
          <w:rFonts w:hint="default" w:ascii="Times New Roman" w:hAnsi="Times New Roman" w:cs="Times New Roman"/>
          <w:color w:val="auto"/>
        </w:rPr>
        <w:t>性质由原来的</w:t>
      </w:r>
      <w:r>
        <w:rPr>
          <w:rFonts w:hint="default" w:ascii="Times New Roman" w:hAnsi="Times New Roman" w:cs="Times New Roman"/>
          <w:color w:val="auto"/>
          <w:lang w:val="en-US" w:eastAsia="zh-CN"/>
        </w:rPr>
        <w:t>村</w:t>
      </w:r>
      <w:r>
        <w:rPr>
          <w:rFonts w:hint="default" w:ascii="Times New Roman" w:hAnsi="Times New Roman" w:cs="Times New Roman"/>
          <w:color w:val="auto"/>
        </w:rPr>
        <w:t>集体用地变更为公共管理与公共服务用地</w:t>
      </w:r>
      <w:r>
        <w:rPr>
          <w:rFonts w:hint="default" w:ascii="Times New Roman" w:hAnsi="Times New Roman" w:cs="Times New Roman"/>
          <w:color w:val="auto"/>
          <w:lang w:eastAsia="zh-CN"/>
        </w:rPr>
        <w:t>中的教育科研用地</w:t>
      </w:r>
      <w:r>
        <w:rPr>
          <w:rFonts w:hint="default" w:ascii="Times New Roman" w:hAnsi="Times New Roman" w:cs="Times New Roman"/>
          <w:color w:val="auto"/>
        </w:rPr>
        <w:t>，依据相关法规要求，该地块在开发利用之前，需要对其开展土壤污染状况调查工作，确保满足后续用地的要求。</w:t>
      </w: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p>
      <w:pPr>
        <w:keepNext/>
        <w:keepLines/>
        <w:spacing w:before="60" w:after="60"/>
        <w:ind w:firstLine="0" w:firstLineChars="0"/>
        <w:outlineLvl w:val="2"/>
        <w:rPr>
          <w:rFonts w:hint="eastAsia" w:ascii="Times New Roman" w:hAnsi="Times New Roman" w:eastAsia="宋体" w:cs="Times New Roman"/>
          <w:b/>
          <w:color w:val="auto"/>
          <w:sz w:val="28"/>
          <w:highlight w:val="none"/>
          <w:lang w:eastAsia="zh-CN"/>
        </w:rPr>
      </w:pPr>
      <w:bookmarkStart w:id="24" w:name="_Toc14783"/>
      <w:bookmarkStart w:id="25" w:name="_Toc26116"/>
      <w:bookmarkStart w:id="26" w:name="_Toc27021"/>
      <w:r>
        <w:rPr>
          <w:rFonts w:hint="default" w:ascii="Times New Roman" w:hAnsi="Times New Roman" w:cs="Times New Roman"/>
          <w:b/>
          <w:color w:val="auto"/>
          <w:sz w:val="28"/>
          <w:highlight w:val="none"/>
        </w:rPr>
        <w:t xml:space="preserve">2 </w:t>
      </w:r>
      <w:bookmarkEnd w:id="24"/>
      <w:bookmarkEnd w:id="25"/>
      <w:r>
        <w:rPr>
          <w:rFonts w:hint="eastAsia" w:cs="Times New Roman"/>
          <w:b/>
          <w:color w:val="auto"/>
          <w:sz w:val="28"/>
          <w:highlight w:val="none"/>
          <w:lang w:eastAsia="zh-CN"/>
        </w:rPr>
        <w:t>污染识别结论</w:t>
      </w:r>
      <w:bookmarkEnd w:id="26"/>
    </w:p>
    <w:p>
      <w:pPr>
        <w:spacing w:line="500" w:lineRule="exact"/>
        <w:ind w:firstLine="480"/>
        <w:rPr>
          <w:rFonts w:hint="default"/>
          <w:highlight w:val="yellow"/>
        </w:rPr>
      </w:pPr>
      <w:bookmarkStart w:id="27" w:name="_Toc11635"/>
      <w:bookmarkStart w:id="28" w:name="_Toc7804"/>
      <w:bookmarkStart w:id="29" w:name="_Toc24980"/>
      <w:bookmarkStart w:id="30" w:name="_Toc12793"/>
      <w:bookmarkStart w:id="31" w:name="_Toc21463"/>
      <w:bookmarkStart w:id="32" w:name="_Toc4266"/>
      <w:bookmarkStart w:id="33" w:name="_Toc1501"/>
      <w:bookmarkStart w:id="34" w:name="_Toc11834"/>
      <w:bookmarkStart w:id="35" w:name="_Toc30638"/>
      <w:bookmarkStart w:id="36" w:name="_Toc32447"/>
      <w:bookmarkStart w:id="37" w:name="_Toc18075"/>
      <w:r>
        <w:rPr>
          <w:rFonts w:hint="default" w:ascii="Times New Roman" w:hAnsi="Times New Roman" w:eastAsia="宋体" w:cs="Times New Roman"/>
          <w:color w:val="auto"/>
        </w:rPr>
        <w:t>通过现场踏勘、收集地块现状和历史资料，分析认为，本地块不存在潜在污染源，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为进一步掌握地块当前土壤环境质量状况，同时考虑历史耕作化肥、农药的施用对土壤中重金属和农药的累积作用，对六六六、滴滴涕进行检测分析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。</w:t>
      </w:r>
      <w:r>
        <w:rPr>
          <w:rFonts w:hint="default" w:ascii="Times New Roman" w:hAnsi="Times New Roman" w:eastAsia="宋体" w:cs="Times New Roman"/>
          <w:highlight w:val="none"/>
          <w:lang w:eastAsia="zh-CN"/>
        </w:rPr>
        <w:t>周边企业</w:t>
      </w:r>
      <w:r>
        <w:rPr>
          <w:rFonts w:hint="eastAsia" w:cs="Times New Roman"/>
          <w:highlight w:val="none"/>
          <w:lang w:eastAsia="zh-CN"/>
        </w:rPr>
        <w:t>对本地块造成影响可能较小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bidi w:val="0"/>
        <w:rPr>
          <w:rFonts w:hint="eastAsia"/>
          <w:highlight w:val="none"/>
          <w:lang w:val="en-US" w:eastAsia="zh-CN"/>
        </w:rPr>
      </w:pPr>
      <w:r>
        <w:rPr>
          <w:rFonts w:hint="default"/>
          <w:highlight w:val="none"/>
        </w:rPr>
        <w:t>根据污染识别结果，认为本地块存在被污染的可能性。需进行第二阶段土壤污染状况调查工作，根据污染识别结果，进行土壤和地下水样品的采集、分析检测工作，明确地块是否已受到污染。</w:t>
      </w:r>
    </w:p>
    <w:p>
      <w:pPr>
        <w:keepNext/>
        <w:keepLines/>
        <w:spacing w:before="60" w:after="60"/>
        <w:ind w:firstLine="0" w:firstLineChars="0"/>
        <w:outlineLvl w:val="2"/>
        <w:rPr>
          <w:rFonts w:hint="eastAsia" w:ascii="Times New Roman" w:hAnsi="Times New Roman" w:eastAsia="宋体" w:cs="Times New Roman"/>
          <w:b/>
          <w:color w:val="auto"/>
          <w:sz w:val="28"/>
          <w:highlight w:val="none"/>
          <w:lang w:eastAsia="zh-CN"/>
        </w:rPr>
      </w:pPr>
      <w:bookmarkStart w:id="38" w:name="_Toc19932"/>
      <w:bookmarkStart w:id="39" w:name="_Toc19472"/>
      <w:bookmarkStart w:id="40" w:name="_Toc6056"/>
      <w:bookmarkStart w:id="41" w:name="_Toc26955"/>
      <w:r>
        <w:rPr>
          <w:rFonts w:hint="default" w:ascii="Times New Roman" w:hAnsi="Times New Roman" w:cs="Times New Roman"/>
          <w:b/>
          <w:color w:val="auto"/>
          <w:sz w:val="28"/>
          <w:highlight w:val="none"/>
        </w:rPr>
        <w:t xml:space="preserve">3 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Start w:id="42" w:name="_Toc23933"/>
      <w:bookmarkStart w:id="43" w:name="_Toc6926"/>
      <w:bookmarkStart w:id="44" w:name="_Toc426468293"/>
      <w:r>
        <w:rPr>
          <w:rFonts w:hint="default" w:ascii="Times New Roman" w:hAnsi="Times New Roman" w:cs="Times New Roman"/>
          <w:b/>
          <w:color w:val="auto"/>
          <w:sz w:val="28"/>
          <w:highlight w:val="none"/>
        </w:rPr>
        <w:t>土壤</w:t>
      </w:r>
      <w:r>
        <w:rPr>
          <w:rFonts w:hint="eastAsia" w:cs="Times New Roman"/>
          <w:b/>
          <w:color w:val="auto"/>
          <w:sz w:val="28"/>
          <w:highlight w:val="none"/>
          <w:lang w:eastAsia="zh-CN"/>
        </w:rPr>
        <w:t>初步采样</w:t>
      </w:r>
      <w:r>
        <w:rPr>
          <w:rFonts w:hint="default" w:ascii="Times New Roman" w:hAnsi="Times New Roman" w:cs="Times New Roman"/>
          <w:b/>
          <w:color w:val="auto"/>
          <w:sz w:val="28"/>
          <w:highlight w:val="none"/>
        </w:rPr>
        <w:t>分析</w:t>
      </w:r>
      <w:bookmarkEnd w:id="38"/>
      <w:bookmarkEnd w:id="39"/>
      <w:bookmarkEnd w:id="40"/>
      <w:r>
        <w:rPr>
          <w:rFonts w:hint="eastAsia" w:cs="Times New Roman"/>
          <w:b/>
          <w:color w:val="auto"/>
          <w:sz w:val="28"/>
          <w:highlight w:val="none"/>
          <w:lang w:eastAsia="zh-CN"/>
        </w:rPr>
        <w:t>结论</w:t>
      </w:r>
      <w:bookmarkEnd w:id="41"/>
    </w:p>
    <w:p>
      <w:pPr>
        <w:ind w:firstLine="480"/>
        <w:rPr>
          <w:rFonts w:hint="eastAsia" w:ascii="Times New Roman" w:hAnsi="Times New Roman" w:eastAsia="宋体" w:cs="Times New Roman"/>
          <w:color w:val="auto"/>
          <w:lang w:eastAsia="zh-CN"/>
        </w:rPr>
      </w:pPr>
      <w:bookmarkStart w:id="45" w:name="_Toc20384"/>
      <w:bookmarkStart w:id="46" w:name="_Toc19815"/>
      <w:bookmarkStart w:id="47" w:name="_Toc11649"/>
      <w:bookmarkStart w:id="48" w:name="_Toc24047"/>
      <w:bookmarkStart w:id="49" w:name="_Toc1900"/>
      <w:bookmarkStart w:id="50" w:name="_Toc22591"/>
      <w:bookmarkStart w:id="51" w:name="_Toc22668"/>
      <w:bookmarkStart w:id="52" w:name="_Toc2089"/>
      <w:bookmarkStart w:id="53" w:name="_Toc17123"/>
      <w:bookmarkStart w:id="54" w:name="_Toc24903"/>
      <w:r>
        <w:rPr>
          <w:rFonts w:hint="default" w:ascii="Times New Roman" w:hAnsi="Times New Roman" w:cs="Times New Roman"/>
          <w:color w:val="auto"/>
        </w:rPr>
        <w:t>我单位于</w:t>
      </w:r>
      <w:r>
        <w:rPr>
          <w:rFonts w:hint="default" w:ascii="Times New Roman" w:hAnsi="Times New Roman" w:eastAsia="宋体" w:cs="Times New Roman"/>
          <w:color w:val="auto"/>
        </w:rPr>
        <w:t>202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</w:rPr>
        <w:t>年</w:t>
      </w:r>
      <w:r>
        <w:rPr>
          <w:rFonts w:hint="default" w:ascii="Times New Roman" w:hAnsi="Times New Roman" w:cs="Times New Roman"/>
          <w:color w:val="auto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color w:val="auto"/>
        </w:rPr>
        <w:t>月</w:t>
      </w:r>
      <w:r>
        <w:rPr>
          <w:rFonts w:hint="default" w:ascii="Times New Roman" w:hAnsi="Times New Roman" w:cs="Times New Roman"/>
          <w:color w:val="auto"/>
          <w:lang w:val="en-US" w:eastAsia="zh-CN"/>
        </w:rPr>
        <w:t>21</w:t>
      </w:r>
      <w:r>
        <w:rPr>
          <w:rFonts w:hint="default" w:ascii="Times New Roman" w:hAnsi="Times New Roman" w:eastAsia="宋体" w:cs="Times New Roman"/>
          <w:color w:val="auto"/>
        </w:rPr>
        <w:t>日~</w:t>
      </w:r>
      <w:r>
        <w:rPr>
          <w:rFonts w:hint="default" w:ascii="Times New Roman" w:hAnsi="Times New Roman" w:cs="Times New Roman"/>
          <w:color w:val="auto"/>
          <w:lang w:val="en-US" w:eastAsia="zh-CN"/>
        </w:rPr>
        <w:t>22</w:t>
      </w:r>
      <w:r>
        <w:rPr>
          <w:rFonts w:hint="default" w:ascii="Times New Roman" w:hAnsi="Times New Roman" w:eastAsia="宋体" w:cs="Times New Roman"/>
          <w:color w:val="auto"/>
        </w:rPr>
        <w:t>日</w:t>
      </w:r>
      <w:r>
        <w:rPr>
          <w:rFonts w:hint="default" w:ascii="Times New Roman" w:hAnsi="Times New Roman" w:cs="Times New Roman"/>
          <w:color w:val="auto"/>
        </w:rPr>
        <w:t>对项目地块</w:t>
      </w:r>
      <w:r>
        <w:rPr>
          <w:rFonts w:hint="eastAsia" w:cs="Times New Roman"/>
          <w:color w:val="auto"/>
          <w:lang w:eastAsia="zh-CN"/>
        </w:rPr>
        <w:t>土壤</w:t>
      </w:r>
      <w:r>
        <w:rPr>
          <w:rFonts w:hint="default" w:ascii="Times New Roman" w:hAnsi="Times New Roman" w:cs="Times New Roman"/>
          <w:color w:val="auto"/>
        </w:rPr>
        <w:t>进行了钻探采样，</w:t>
      </w:r>
      <w:r>
        <w:rPr>
          <w:rFonts w:hint="default" w:ascii="Times New Roman" w:hAnsi="Times New Roman" w:cs="Times New Roman"/>
          <w:color w:val="auto"/>
          <w:lang w:val="en-US" w:eastAsia="zh-CN"/>
        </w:rPr>
        <w:t>地块内</w:t>
      </w:r>
      <w:r>
        <w:rPr>
          <w:rFonts w:hint="default" w:ascii="Times New Roman" w:hAnsi="Times New Roman" w:cs="Times New Roman"/>
          <w:color w:val="auto"/>
          <w:lang w:eastAsia="zh-CN"/>
        </w:rPr>
        <w:t>共设土壤采样点</w:t>
      </w:r>
      <w:r>
        <w:rPr>
          <w:rFonts w:hint="default" w:ascii="Times New Roman" w:hAnsi="Times New Roman" w:cs="Times New Roman"/>
          <w:color w:val="auto"/>
          <w:lang w:val="en-US" w:eastAsia="zh-CN"/>
        </w:rPr>
        <w:t>6个，</w:t>
      </w:r>
      <w:r>
        <w:rPr>
          <w:rFonts w:hint="default" w:ascii="Times New Roman" w:hAnsi="Times New Roman" w:cs="Times New Roman"/>
          <w:color w:val="auto"/>
          <w:lang w:eastAsia="zh-CN"/>
        </w:rPr>
        <w:t>采集原状</w:t>
      </w:r>
      <w:r>
        <w:rPr>
          <w:rFonts w:hint="default" w:ascii="Times New Roman" w:hAnsi="Times New Roman" w:cs="Times New Roman"/>
          <w:color w:val="auto"/>
        </w:rPr>
        <w:t>土壤样品</w:t>
      </w:r>
      <w:r>
        <w:rPr>
          <w:rFonts w:hint="default" w:ascii="Times New Roman" w:hAnsi="Times New Roman" w:cs="Times New Roman"/>
          <w:color w:val="auto"/>
          <w:lang w:val="en-US" w:eastAsia="zh-CN"/>
        </w:rPr>
        <w:t>12组</w:t>
      </w:r>
      <w:r>
        <w:rPr>
          <w:rFonts w:hint="default" w:ascii="Times New Roman" w:hAnsi="Times New Roman" w:cs="Times New Roman"/>
          <w:color w:val="auto"/>
        </w:rPr>
        <w:t>，另有</w:t>
      </w:r>
      <w:r>
        <w:rPr>
          <w:rFonts w:hint="default" w:ascii="Times New Roman" w:hAnsi="Times New Roman" w:cs="Times New Roman"/>
          <w:color w:val="auto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</w:rPr>
        <w:t>组现场平行样</w:t>
      </w:r>
      <w:r>
        <w:rPr>
          <w:rFonts w:hint="eastAsia" w:ascii="Times New Roman" w:hAnsi="Times New Roman" w:cs="Times New Roman"/>
          <w:color w:val="auto"/>
          <w:lang w:eastAsia="zh-CN"/>
        </w:rPr>
        <w:t>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/>
        <w:textAlignment w:val="auto"/>
        <w:rPr>
          <w:rFonts w:hint="default" w:ascii="Times New Roman" w:hAnsi="Times New Roman" w:eastAsia="宋体" w:cs="Times New Roman"/>
          <w:color w:val="FF0000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</w:rPr>
        <w:t>根据地块土壤样品检测结果，</w:t>
      </w:r>
      <w:r>
        <w:rPr>
          <w:rFonts w:hint="default" w:ascii="Times New Roman" w:hAnsi="Times New Roman" w:cs="Times New Roman"/>
          <w:color w:val="auto"/>
          <w:lang w:eastAsia="zh-CN"/>
        </w:rPr>
        <w:t>地块内区域</w:t>
      </w:r>
      <w:r>
        <w:rPr>
          <w:rFonts w:hint="default" w:ascii="Times New Roman" w:hAnsi="Times New Roman" w:cs="Times New Roman"/>
          <w:color w:val="auto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</w:rPr>
        <w:t>个土壤样品</w:t>
      </w:r>
      <w:r>
        <w:rPr>
          <w:rFonts w:hint="default" w:ascii="Times New Roman" w:hAnsi="Times New Roman" w:cs="Times New Roman"/>
          <w:color w:val="auto"/>
          <w:lang w:eastAsia="zh-CN"/>
        </w:rPr>
        <w:t>中，</w:t>
      </w:r>
      <w:r>
        <w:rPr>
          <w:rFonts w:hint="default" w:ascii="Times New Roman" w:hAnsi="Times New Roman" w:cs="Times New Roman"/>
          <w:color w:val="auto"/>
          <w:lang w:val="en-US" w:eastAsia="zh-CN"/>
        </w:rPr>
        <w:t>测定的</w:t>
      </w:r>
      <w:r>
        <w:rPr>
          <w:rFonts w:hint="default" w:ascii="Times New Roman" w:hAnsi="Times New Roman" w:cs="Times New Roman"/>
          <w:color w:val="auto"/>
        </w:rPr>
        <w:t>重金属（除六价铬外）因子</w:t>
      </w:r>
      <w:r>
        <w:rPr>
          <w:rFonts w:hint="default" w:ascii="Times New Roman" w:hAnsi="Times New Roman" w:cs="Times New Roman"/>
          <w:color w:val="auto"/>
          <w:lang w:eastAsia="zh-CN"/>
        </w:rPr>
        <w:t>、氟化物均有检出，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但各检出因子的最大浓度均未超过本地块土壤调查所选用的筛选值，</w:t>
      </w:r>
      <w:r>
        <w:rPr>
          <w:rFonts w:hint="default" w:ascii="Times New Roman" w:hAnsi="Times New Roman" w:cs="Times New Roman"/>
          <w:color w:val="auto"/>
          <w:lang w:val="en-US" w:eastAsia="zh-CN"/>
        </w:rPr>
        <w:t>测定</w:t>
      </w:r>
      <w:r>
        <w:rPr>
          <w:rFonts w:hint="default" w:ascii="Times New Roman" w:hAnsi="Times New Roman" w:cs="Times New Roman"/>
          <w:color w:val="auto"/>
        </w:rPr>
        <w:t>六价铬、VOCs、SVOCs</w:t>
      </w:r>
      <w:r>
        <w:rPr>
          <w:rFonts w:hint="default" w:ascii="Times New Roman" w:hAnsi="Times New Roman" w:cs="Times New Roman"/>
          <w:color w:val="auto"/>
          <w:lang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highlight w:val="none"/>
          <w:lang w:val="en-US" w:eastAsia="zh-CN"/>
        </w:rPr>
        <w:t>六六六、滴滴涕</w:t>
      </w:r>
      <w:r>
        <w:rPr>
          <w:rFonts w:hint="default" w:ascii="Times New Roman" w:hAnsi="Times New Roman" w:cs="Times New Roman"/>
          <w:color w:val="auto"/>
        </w:rPr>
        <w:t>全部未检出</w:t>
      </w:r>
      <w:r>
        <w:rPr>
          <w:rFonts w:hint="default" w:ascii="Times New Roman" w:hAnsi="Times New Roman" w:cs="Times New Roman"/>
          <w:color w:val="auto"/>
          <w:lang w:eastAsia="zh-CN"/>
        </w:rPr>
        <w:t>。</w:t>
      </w:r>
    </w:p>
    <w:p>
      <w:pPr>
        <w:keepNext/>
        <w:keepLines/>
        <w:spacing w:before="60" w:after="60"/>
        <w:ind w:firstLine="0" w:firstLineChars="0"/>
        <w:outlineLvl w:val="2"/>
        <w:rPr>
          <w:rFonts w:hint="default" w:ascii="Times New Roman" w:hAnsi="Times New Roman" w:cs="Times New Roman"/>
          <w:b/>
          <w:color w:val="auto"/>
          <w:sz w:val="28"/>
          <w:highlight w:val="none"/>
        </w:rPr>
      </w:pPr>
      <w:bookmarkStart w:id="55" w:name="_Toc9258"/>
      <w:r>
        <w:rPr>
          <w:rFonts w:hint="eastAsia" w:cs="Times New Roman"/>
          <w:b/>
          <w:color w:val="auto"/>
          <w:sz w:val="28"/>
          <w:highlight w:val="none"/>
          <w:lang w:val="en-US" w:eastAsia="zh-CN"/>
        </w:rPr>
        <w:t>4</w:t>
      </w:r>
      <w:r>
        <w:rPr>
          <w:rFonts w:hint="default" w:ascii="Times New Roman" w:hAnsi="Times New Roman" w:cs="Times New Roman"/>
          <w:b/>
          <w:color w:val="auto"/>
          <w:sz w:val="28"/>
          <w:highlight w:val="none"/>
        </w:rPr>
        <w:t xml:space="preserve"> </w:t>
      </w:r>
      <w:r>
        <w:rPr>
          <w:rFonts w:hint="eastAsia" w:ascii="Times New Roman" w:hAnsi="Times New Roman" w:cs="Times New Roman"/>
          <w:b/>
          <w:color w:val="auto"/>
          <w:sz w:val="28"/>
          <w:highlight w:val="none"/>
          <w:lang w:eastAsia="zh-CN"/>
        </w:rPr>
        <w:t>地下水</w:t>
      </w:r>
      <w:r>
        <w:rPr>
          <w:rFonts w:hint="eastAsia" w:cs="Times New Roman"/>
          <w:b/>
          <w:color w:val="auto"/>
          <w:sz w:val="28"/>
          <w:highlight w:val="none"/>
          <w:lang w:eastAsia="zh-CN"/>
        </w:rPr>
        <w:t>初步采样分析结论</w:t>
      </w:r>
      <w:bookmarkEnd w:id="55"/>
    </w:p>
    <w:p>
      <w:pPr>
        <w:pStyle w:val="7"/>
        <w:ind w:firstLine="480"/>
        <w:rPr>
          <w:rFonts w:hint="default" w:ascii="Times New Roman" w:hAnsi="Times New Roman" w:cs="Times New Roman"/>
          <w:highlight w:val="none"/>
        </w:rPr>
      </w:pPr>
      <w:r>
        <w:rPr>
          <w:rFonts w:hint="default" w:ascii="Times New Roman" w:hAnsi="Times New Roman" w:cs="Times New Roman"/>
          <w:color w:val="auto"/>
        </w:rPr>
        <w:t>我单位于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2022年</w:t>
      </w:r>
      <w:r>
        <w:rPr>
          <w:rFonts w:hint="default" w:ascii="Times New Roman" w:hAnsi="Times New Roman" w:cs="Times New Roman"/>
          <w:color w:val="auto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月</w:t>
      </w:r>
      <w:r>
        <w:rPr>
          <w:rFonts w:hint="default" w:ascii="Times New Roman" w:hAnsi="Times New Roman" w:cs="Times New Roman"/>
          <w:color w:val="auto"/>
          <w:lang w:val="en-US" w:eastAsia="zh-CN"/>
        </w:rPr>
        <w:t>24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日</w:t>
      </w:r>
      <w:r>
        <w:rPr>
          <w:rFonts w:hint="default" w:ascii="Times New Roman" w:hAnsi="Times New Roman" w:cs="Times New Roman"/>
          <w:color w:val="auto"/>
        </w:rPr>
        <w:t>对项目地块</w:t>
      </w:r>
      <w:r>
        <w:rPr>
          <w:rFonts w:hint="eastAsia" w:ascii="Times New Roman" w:hAnsi="Times New Roman" w:cs="Times New Roman"/>
          <w:color w:val="auto"/>
          <w:lang w:eastAsia="zh-CN"/>
        </w:rPr>
        <w:t>地下水</w:t>
      </w:r>
      <w:r>
        <w:rPr>
          <w:rFonts w:hint="default" w:ascii="Times New Roman" w:hAnsi="Times New Roman" w:cs="Times New Roman"/>
          <w:color w:val="auto"/>
        </w:rPr>
        <w:t>进行了采样，共布设</w:t>
      </w:r>
      <w:r>
        <w:rPr>
          <w:rFonts w:hint="default" w:ascii="Times New Roman" w:hAnsi="Times New Roman" w:cs="Times New Roman"/>
          <w:color w:val="auto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</w:rPr>
        <w:t>口地下水监测井</w:t>
      </w:r>
      <w:r>
        <w:rPr>
          <w:rFonts w:hint="default" w:ascii="Times New Roman" w:hAnsi="Times New Roman" w:cs="Times New Roman"/>
          <w:color w:val="auto"/>
          <w:kern w:val="0"/>
          <w:lang w:bidi="ar"/>
        </w:rPr>
        <w:t>，</w:t>
      </w:r>
      <w:r>
        <w:rPr>
          <w:rFonts w:hint="default" w:ascii="Times New Roman" w:hAnsi="Times New Roman" w:cs="Times New Roman"/>
          <w:color w:val="auto"/>
        </w:rPr>
        <w:t>采集</w:t>
      </w:r>
      <w:r>
        <w:rPr>
          <w:rFonts w:hint="default" w:ascii="Times New Roman" w:hAnsi="Times New Roman" w:cs="Times New Roman"/>
          <w:color w:val="auto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</w:rPr>
        <w:t>组地下水样品，另有1组现场平行样。</w:t>
      </w:r>
    </w:p>
    <w:p>
      <w:pPr>
        <w:pStyle w:val="7"/>
        <w:ind w:firstLine="480"/>
        <w:rPr>
          <w:rFonts w:hint="default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根据本次调查范围内地下水检测结果的统计分析，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highlight w:val="none"/>
        </w:rPr>
        <w:t>口地下水中有检出的因子包括pH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色度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臭和味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浊度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肉眼可见物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耗氧量（COD</w:t>
      </w:r>
      <w:r>
        <w:rPr>
          <w:rFonts w:hint="default" w:ascii="Times New Roman" w:hAnsi="Times New Roman" w:cs="Times New Roman"/>
          <w:color w:val="auto"/>
          <w:highlight w:val="none"/>
          <w:vertAlign w:val="subscript"/>
        </w:rPr>
        <w:t>Mn</w:t>
      </w:r>
      <w:r>
        <w:rPr>
          <w:rFonts w:hint="default" w:ascii="Times New Roman" w:hAnsi="Times New Roman" w:cs="Times New Roman"/>
          <w:color w:val="auto"/>
          <w:highlight w:val="none"/>
        </w:rPr>
        <w:t>法以O</w:t>
      </w:r>
      <w:r>
        <w:rPr>
          <w:rFonts w:hint="default" w:ascii="Times New Roman" w:hAnsi="Times New Roman" w:cs="Times New Roman"/>
          <w:color w:val="auto"/>
          <w:highlight w:val="none"/>
          <w:vertAlign w:val="subscript"/>
        </w:rPr>
        <w:t>2</w:t>
      </w:r>
      <w:r>
        <w:rPr>
          <w:rFonts w:hint="default" w:ascii="Times New Roman" w:hAnsi="Times New Roman" w:cs="Times New Roman"/>
          <w:color w:val="auto"/>
          <w:highlight w:val="none"/>
        </w:rPr>
        <w:t>计）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溶解性总固体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总硬度（以CaCO</w:t>
      </w:r>
      <w:r>
        <w:rPr>
          <w:rFonts w:hint="default" w:ascii="Times New Roman" w:hAnsi="Times New Roman" w:cs="Times New Roman"/>
          <w:color w:val="auto"/>
          <w:highlight w:val="none"/>
          <w:vertAlign w:val="subscript"/>
        </w:rPr>
        <w:t>3</w:t>
      </w:r>
      <w:r>
        <w:rPr>
          <w:rFonts w:hint="default" w:ascii="Times New Roman" w:hAnsi="Times New Roman" w:cs="Times New Roman"/>
          <w:color w:val="auto"/>
          <w:highlight w:val="none"/>
        </w:rPr>
        <w:t>计）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硫酸盐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氯化物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氟化物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亚硝酸盐（以N计）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氨氮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硝酸盐（以N计）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阴离子表面活性剂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钠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锰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铝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铅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砷共计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20</w:t>
      </w:r>
      <w:r>
        <w:rPr>
          <w:rFonts w:hint="default" w:ascii="Times New Roman" w:hAnsi="Times New Roman" w:cs="Times New Roman"/>
          <w:color w:val="auto"/>
          <w:highlight w:val="none"/>
        </w:rPr>
        <w:t>项，其中溶解性总固体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总硬度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硫酸盐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氯化物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钠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均</w:t>
      </w:r>
      <w:r>
        <w:rPr>
          <w:rFonts w:hint="default" w:ascii="Times New Roman" w:hAnsi="Times New Roman" w:cs="Times New Roman"/>
          <w:color w:val="auto"/>
          <w:highlight w:val="none"/>
        </w:rPr>
        <w:t>超出《地下水质量标准》（GB/T14848-2017）Ⅲ类标准，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耗氧量、锰有个别点位超出</w:t>
      </w:r>
      <w:r>
        <w:rPr>
          <w:rFonts w:hint="default" w:ascii="Times New Roman" w:hAnsi="Times New Roman" w:cs="Times New Roman"/>
          <w:color w:val="auto"/>
          <w:highlight w:val="none"/>
        </w:rPr>
        <w:t>《地下水质量标准》（GB/T14848-2017）Ⅲ类标准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，其余因子均未</w:t>
      </w:r>
      <w:r>
        <w:rPr>
          <w:rFonts w:hint="default" w:ascii="Times New Roman" w:hAnsi="Times New Roman" w:cs="Times New Roman"/>
          <w:color w:val="auto"/>
          <w:highlight w:val="none"/>
        </w:rPr>
        <w:t>超标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/>
        <w:textAlignment w:val="auto"/>
        <w:rPr>
          <w:rFonts w:hint="default" w:ascii="Times New Roman" w:hAnsi="Times New Roman" w:eastAsia="宋体" w:cs="Times New Roman"/>
          <w:color w:val="auto"/>
          <w:lang w:eastAsia="zh-CN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溶解性总固体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总硬度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硫酸盐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氯化物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、锰、耗氧量超标原因分析</w:t>
      </w:r>
      <w:r>
        <w:rPr>
          <w:rFonts w:hint="default" w:ascii="Times New Roman" w:hAnsi="Times New Roman" w:cs="Times New Roman"/>
          <w:color w:val="auto"/>
        </w:rPr>
        <w:t>：根据查阅的相关文献分析可知，沧州市浅层地下水</w:t>
      </w:r>
      <w:r>
        <w:rPr>
          <w:rFonts w:hint="default" w:ascii="Times New Roman" w:hAnsi="Times New Roman" w:cs="Times New Roman"/>
          <w:color w:val="auto"/>
          <w:highlight w:val="none"/>
        </w:rPr>
        <w:t>溶解性总固体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总硬度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硫酸盐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氯化物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、锰、耗氧量等</w:t>
      </w:r>
      <w:r>
        <w:rPr>
          <w:rFonts w:hint="default" w:ascii="Times New Roman" w:hAnsi="Times New Roman" w:cs="Times New Roman"/>
          <w:color w:val="auto"/>
        </w:rPr>
        <w:t>含量偏高与沧州市地质结构有关，沧州市地处冲洪积平原区，地势平缓，潜层地下水开采层为第一含水组，地下水埋深较浅，排泄方式以人工开采为主，其次是潜水蒸发，侧向径流微弱，土壤中矿物成分经过不断风化淋溶，会造成地下水化学成分逐渐增多。本项目地块处于沧州地区，因此分析认为地块内地下水中</w:t>
      </w:r>
      <w:r>
        <w:rPr>
          <w:rFonts w:hint="default" w:ascii="Times New Roman" w:hAnsi="Times New Roman" w:cs="Times New Roman"/>
          <w:color w:val="auto"/>
          <w:highlight w:val="none"/>
        </w:rPr>
        <w:t>溶解性总固体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总硬度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硫酸盐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氯化物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、锰、耗氧量</w:t>
      </w:r>
      <w:r>
        <w:rPr>
          <w:rFonts w:hint="default" w:ascii="Times New Roman" w:hAnsi="Times New Roman" w:cs="Times New Roman"/>
          <w:color w:val="auto"/>
        </w:rPr>
        <w:t>超标属于区域地质原因。</w:t>
      </w:r>
    </w:p>
    <w:p>
      <w:pPr>
        <w:pStyle w:val="7"/>
        <w:ind w:firstLine="480"/>
        <w:rPr>
          <w:rFonts w:hint="default" w:ascii="Times New Roman" w:hAnsi="Times New Roman" w:cs="Times New Roman"/>
          <w:highlight w:val="none"/>
        </w:rPr>
      </w:pPr>
      <w:r>
        <w:rPr>
          <w:rFonts w:hint="default" w:ascii="Times New Roman" w:hAnsi="Times New Roman" w:eastAsia="宋体" w:cs="Times New Roman"/>
          <w:color w:val="auto"/>
        </w:rPr>
        <w:t>本项目地块区域内已实现集中供水，地下水不开采饮用，浅层地下水暂无利用规划，不作为饮用水源。超标因子均为一般化学指标，对人体健康危害不大，在不饮用的情况下对人体健康不存在暴露途径，因此对未来居民不存在健康风险。</w:t>
      </w:r>
    </w:p>
    <w:p>
      <w:pPr>
        <w:keepNext/>
        <w:keepLines/>
        <w:spacing w:before="60" w:after="60"/>
        <w:ind w:firstLine="0" w:firstLineChars="0"/>
        <w:outlineLvl w:val="2"/>
        <w:rPr>
          <w:rFonts w:hint="default" w:ascii="Times New Roman" w:hAnsi="Times New Roman" w:cs="Times New Roman"/>
          <w:b/>
          <w:color w:val="auto"/>
          <w:sz w:val="28"/>
          <w:highlight w:val="none"/>
        </w:rPr>
      </w:pPr>
      <w:bookmarkStart w:id="56" w:name="_Toc25591"/>
      <w:bookmarkStart w:id="57" w:name="_Toc12163"/>
      <w:bookmarkStart w:id="58" w:name="_Toc17853"/>
      <w:bookmarkStart w:id="59" w:name="_Toc19889"/>
      <w:r>
        <w:rPr>
          <w:rFonts w:hint="eastAsia" w:cs="Times New Roman"/>
          <w:b/>
          <w:color w:val="auto"/>
          <w:sz w:val="28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b/>
          <w:color w:val="auto"/>
          <w:sz w:val="28"/>
          <w:highlight w:val="none"/>
        </w:rPr>
        <w:t xml:space="preserve"> </w:t>
      </w:r>
      <w:r>
        <w:rPr>
          <w:rFonts w:hint="eastAsia" w:cs="Times New Roman"/>
          <w:b/>
          <w:color w:val="auto"/>
          <w:sz w:val="28"/>
          <w:highlight w:val="none"/>
          <w:lang w:eastAsia="zh-CN"/>
        </w:rPr>
        <w:t>地块初步</w:t>
      </w:r>
      <w:r>
        <w:rPr>
          <w:rFonts w:hint="default" w:ascii="Times New Roman" w:hAnsi="Times New Roman" w:cs="Times New Roman"/>
          <w:b/>
          <w:color w:val="auto"/>
          <w:sz w:val="28"/>
          <w:highlight w:val="none"/>
        </w:rPr>
        <w:t>调查结论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6"/>
      <w:bookmarkEnd w:id="57"/>
      <w:bookmarkEnd w:id="58"/>
      <w:bookmarkEnd w:id="59"/>
    </w:p>
    <w:p>
      <w:pPr>
        <w:ind w:firstLine="480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bookmarkStart w:id="60" w:name="_Toc27609"/>
      <w:bookmarkStart w:id="61" w:name="_Toc29026"/>
      <w:bookmarkStart w:id="62" w:name="_Toc16557"/>
      <w:bookmarkStart w:id="63" w:name="_Toc17273"/>
      <w:bookmarkStart w:id="64" w:name="_Toc3494"/>
      <w:bookmarkStart w:id="65" w:name="_Toc22256"/>
      <w:bookmarkStart w:id="66" w:name="_Toc30875"/>
      <w:bookmarkStart w:id="67" w:name="_Toc2966"/>
      <w:bookmarkStart w:id="68" w:name="_Toc7090"/>
      <w:bookmarkStart w:id="69" w:name="_Toc31760"/>
      <w:r>
        <w:rPr>
          <w:rFonts w:hint="default" w:ascii="Times New Roman" w:hAnsi="Times New Roman" w:cs="Times New Roman"/>
          <w:color w:val="auto"/>
        </w:rPr>
        <w:t>根据本项目地块土壤及地下水样品检测结果的统计分析，本项目土壤监测结果均未超出本次土壤污染状况调查所用的筛选值，地下水部分因子监测结果超出本次土壤污染状况调查所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用的评价值，但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该区域地下水禁止开采利用且超标因子均为一般化学指标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，</w:t>
      </w:r>
      <w:r>
        <w:rPr>
          <w:rFonts w:hint="default" w:ascii="Times New Roman" w:hAnsi="Times New Roman" w:cs="Times New Roman"/>
          <w:color w:val="auto"/>
        </w:rPr>
        <w:t>对人体健康危害不大，在不饮用的情况下对人体健康不存在暴露途径，因此对未来</w:t>
      </w:r>
      <w:r>
        <w:rPr>
          <w:rFonts w:hint="default" w:ascii="Times New Roman" w:hAnsi="Times New Roman" w:cs="Times New Roman"/>
          <w:color w:val="auto"/>
          <w:lang w:eastAsia="zh-CN"/>
        </w:rPr>
        <w:t>学校师生人群</w:t>
      </w:r>
      <w:r>
        <w:rPr>
          <w:rFonts w:hint="default" w:ascii="Times New Roman" w:hAnsi="Times New Roman" w:cs="Times New Roman"/>
          <w:color w:val="auto"/>
        </w:rPr>
        <w:t>不存在健康风险，整体认为地块无需启动详细调查及风险评估工作，本地块调查工作到该阶段（技术路线第二阶段）结束。该地块用地性质规划为</w:t>
      </w:r>
      <w:r>
        <w:rPr>
          <w:rFonts w:hint="default" w:ascii="Times New Roman" w:hAnsi="Times New Roman" w:cs="Times New Roman"/>
          <w:color w:val="auto"/>
          <w:lang w:eastAsia="zh-CN"/>
        </w:rPr>
        <w:t>教育科研用地</w:t>
      </w:r>
      <w:r>
        <w:rPr>
          <w:rFonts w:hint="default" w:ascii="Times New Roman" w:hAnsi="Times New Roman" w:cs="Times New Roman"/>
          <w:color w:val="auto"/>
        </w:rPr>
        <w:t>，根据监测结果分析，本地块达到</w:t>
      </w:r>
      <w:r>
        <w:rPr>
          <w:rFonts w:hint="eastAsia" w:cs="Times New Roman"/>
          <w:color w:val="auto"/>
          <w:lang w:eastAsia="zh-CN"/>
        </w:rPr>
        <w:t>二</w:t>
      </w:r>
      <w:r>
        <w:rPr>
          <w:rFonts w:hint="default" w:ascii="Times New Roman" w:hAnsi="Times New Roman" w:cs="Times New Roman"/>
          <w:color w:val="auto"/>
        </w:rPr>
        <w:t>类用地标准，因此本地块可作为</w:t>
      </w:r>
      <w:r>
        <w:rPr>
          <w:rFonts w:hint="default" w:ascii="Times New Roman" w:hAnsi="Times New Roman" w:cs="Times New Roman"/>
          <w:color w:val="auto"/>
          <w:lang w:eastAsia="zh-CN"/>
        </w:rPr>
        <w:t>教育科研用地</w:t>
      </w:r>
      <w:r>
        <w:rPr>
          <w:rFonts w:hint="default" w:ascii="Times New Roman" w:hAnsi="Times New Roman" w:cs="Times New Roman"/>
          <w:color w:val="auto"/>
        </w:rPr>
        <w:t>安全利用。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    </w:t>
      </w:r>
    </w:p>
    <w:p>
      <w:pPr>
        <w:keepNext/>
        <w:keepLines/>
        <w:spacing w:before="60" w:after="60"/>
        <w:ind w:firstLine="0" w:firstLineChars="0"/>
        <w:outlineLvl w:val="2"/>
        <w:rPr>
          <w:rFonts w:hint="default" w:ascii="Times New Roman" w:hAnsi="Times New Roman" w:eastAsia="宋体" w:cs="Times New Roman"/>
          <w:b/>
          <w:color w:val="auto"/>
          <w:sz w:val="28"/>
          <w:highlight w:val="none"/>
        </w:rPr>
      </w:pPr>
      <w:bookmarkStart w:id="70" w:name="_Toc21145"/>
      <w:bookmarkStart w:id="71" w:name="_Toc25951"/>
      <w:bookmarkStart w:id="72" w:name="_Toc321"/>
      <w:bookmarkStart w:id="73" w:name="_Toc14149"/>
      <w:bookmarkStart w:id="74" w:name="_Toc26110"/>
      <w:r>
        <w:rPr>
          <w:rFonts w:hint="eastAsia" w:cs="Times New Roman"/>
          <w:b/>
          <w:color w:val="auto"/>
          <w:sz w:val="28"/>
          <w:highlight w:val="none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/>
          <w:color w:val="auto"/>
          <w:sz w:val="28"/>
          <w:highlight w:val="none"/>
        </w:rPr>
        <w:t xml:space="preserve"> 建议</w:t>
      </w:r>
      <w:bookmarkEnd w:id="42"/>
      <w:bookmarkEnd w:id="43"/>
      <w:bookmarkEnd w:id="44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>
      <w:pPr>
        <w:pStyle w:val="7"/>
        <w:ind w:firstLine="480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lang w:eastAsia="zh-CN"/>
        </w:rPr>
        <w:t>（</w:t>
      </w:r>
      <w:r>
        <w:rPr>
          <w:rFonts w:hint="default" w:ascii="Times New Roman" w:hAnsi="Times New Roman" w:cs="Times New Roman"/>
          <w:color w:val="auto"/>
          <w:lang w:val="en-US" w:eastAsia="zh-CN"/>
        </w:rPr>
        <w:t>1</w:t>
      </w:r>
      <w:r>
        <w:rPr>
          <w:rFonts w:hint="default" w:ascii="Times New Roman" w:hAnsi="Times New Roman" w:cs="Times New Roman"/>
          <w:color w:val="auto"/>
          <w:lang w:eastAsia="zh-CN"/>
        </w:rPr>
        <w:t>）经调查可知地块内地下水质量较差，严禁作为</w:t>
      </w:r>
      <w:r>
        <w:rPr>
          <w:rFonts w:hint="default" w:ascii="Times New Roman" w:hAnsi="Times New Roman" w:cs="Times New Roman"/>
          <w:color w:val="auto"/>
          <w:lang w:val="en-US" w:eastAsia="zh-CN"/>
        </w:rPr>
        <w:t>生活饮用水水源开采使用</w:t>
      </w:r>
      <w:r>
        <w:rPr>
          <w:rFonts w:hint="default" w:ascii="Times New Roman" w:hAnsi="Times New Roman" w:cs="Times New Roman"/>
          <w:color w:val="auto"/>
          <w:lang w:eastAsia="zh-CN"/>
        </w:rPr>
        <w:t>。</w:t>
      </w:r>
    </w:p>
    <w:p>
      <w:pPr>
        <w:pStyle w:val="7"/>
        <w:ind w:firstLine="480"/>
        <w:rPr>
          <w:rFonts w:hint="default" w:ascii="Times New Roman" w:hAnsi="Times New Roman" w:cs="Times New Roman"/>
          <w:color w:val="auto"/>
          <w:lang w:eastAsia="zh-CN"/>
        </w:rPr>
      </w:pPr>
      <w:r>
        <w:rPr>
          <w:rFonts w:hint="default" w:ascii="Times New Roman" w:hAnsi="Times New Roman" w:cs="Times New Roman"/>
          <w:color w:val="auto"/>
        </w:rPr>
        <w:t>（</w:t>
      </w:r>
      <w:r>
        <w:rPr>
          <w:rFonts w:hint="default" w:ascii="Times New Roman" w:hAnsi="Times New Roman" w:cs="Times New Roman"/>
          <w:color w:val="auto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</w:rPr>
        <w:t>）在后续拆除和开发过程中，一旦发现潜在污染源或地下隐蔽设施应及时上报环境保护主管部门，必要时应继续开展相应的地块内的环境调查工作</w:t>
      </w:r>
      <w:r>
        <w:rPr>
          <w:rFonts w:hint="default" w:ascii="Times New Roman" w:hAnsi="Times New Roman" w:cs="Times New Roman"/>
          <w:color w:val="auto"/>
          <w:highlight w:val="none"/>
        </w:rPr>
        <w:t>。</w:t>
      </w:r>
    </w:p>
    <w:p>
      <w:pPr>
        <w:rPr>
          <w:rFonts w:hint="default"/>
        </w:rPr>
      </w:pPr>
      <w:r>
        <w:rPr>
          <w:rFonts w:hint="default" w:ascii="Times New Roman" w:hAnsi="Times New Roman" w:cs="Times New Roman"/>
          <w:color w:val="auto"/>
          <w:lang w:bidi="ar"/>
        </w:rPr>
        <w:t>（</w:t>
      </w:r>
      <w:r>
        <w:rPr>
          <w:rFonts w:hint="default" w:ascii="Times New Roman" w:hAnsi="Times New Roman" w:cs="Times New Roman"/>
          <w:color w:val="auto"/>
          <w:lang w:val="en-US" w:eastAsia="zh-CN" w:bidi="ar"/>
        </w:rPr>
        <w:t>3</w:t>
      </w:r>
      <w:r>
        <w:rPr>
          <w:rFonts w:hint="default" w:ascii="Times New Roman" w:hAnsi="Times New Roman" w:cs="Times New Roman"/>
          <w:color w:val="auto"/>
          <w:lang w:bidi="ar"/>
        </w:rPr>
        <w:t>）本次调查结果是</w:t>
      </w:r>
      <w:bookmarkStart w:id="75" w:name="_GoBack"/>
      <w:bookmarkEnd w:id="75"/>
      <w:r>
        <w:rPr>
          <w:rFonts w:hint="default" w:ascii="Times New Roman" w:hAnsi="Times New Roman" w:cs="Times New Roman"/>
          <w:color w:val="auto"/>
          <w:lang w:bidi="ar"/>
        </w:rPr>
        <w:t>基于地块现有条件和现有评价标准而做出的专业判断，未来该地块由于用地类型或评价标准等发生变化时，应对现有调查结论进行评估，必要时需重新开展土壤污染状况调查。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wOGEyYmQzNTMzNTUzNmRiOTI5MDAyZjhmYzQ1ZGYifQ=="/>
  </w:docVars>
  <w:rsids>
    <w:rsidRoot w:val="701527B4"/>
    <w:rsid w:val="0D063338"/>
    <w:rsid w:val="24A07D86"/>
    <w:rsid w:val="3ACB3CA1"/>
    <w:rsid w:val="6626177C"/>
    <w:rsid w:val="6B486B8E"/>
    <w:rsid w:val="6C8817AD"/>
    <w:rsid w:val="701527B4"/>
    <w:rsid w:val="7BFA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line="520" w:lineRule="exact"/>
      <w:ind w:firstLine="883" w:firstLineChars="200"/>
      <w:jc w:val="both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spacing w:before="180" w:after="180" w:line="520" w:lineRule="atLeast"/>
      <w:ind w:left="0" w:firstLine="0" w:firstLineChars="0"/>
      <w:outlineLvl w:val="0"/>
    </w:pPr>
    <w:rPr>
      <w:sz w:val="32"/>
      <w:szCs w:val="32"/>
    </w:rPr>
  </w:style>
  <w:style w:type="paragraph" w:styleId="4">
    <w:name w:val="heading 2"/>
    <w:basedOn w:val="2"/>
    <w:next w:val="5"/>
    <w:unhideWhenUsed/>
    <w:qFormat/>
    <w:uiPriority w:val="0"/>
    <w:pPr>
      <w:keepNext/>
      <w:keepLines/>
      <w:spacing w:before="120" w:after="120" w:line="480" w:lineRule="exact"/>
      <w:ind w:firstLine="0" w:firstLineChars="0"/>
      <w:jc w:val="left"/>
      <w:outlineLvl w:val="1"/>
    </w:pPr>
    <w:rPr>
      <w:sz w:val="30"/>
    </w:rPr>
  </w:style>
  <w:style w:type="paragraph" w:styleId="5">
    <w:name w:val="heading 3"/>
    <w:basedOn w:val="4"/>
    <w:next w:val="6"/>
    <w:unhideWhenUsed/>
    <w:qFormat/>
    <w:uiPriority w:val="0"/>
    <w:pPr>
      <w:keepNext/>
      <w:keepLines/>
      <w:spacing w:before="60" w:after="60" w:line="520" w:lineRule="exact"/>
      <w:ind w:firstLine="0" w:firstLineChars="0"/>
      <w:jc w:val="left"/>
      <w:outlineLvl w:val="2"/>
    </w:pPr>
    <w:rPr>
      <w:rFonts w:ascii="Times New Roman" w:hAnsi="Times New Roman" w:eastAsia="宋体"/>
      <w:sz w:val="28"/>
    </w:rPr>
  </w:style>
  <w:style w:type="paragraph" w:styleId="6">
    <w:name w:val="heading 4"/>
    <w:basedOn w:val="1"/>
    <w:next w:val="1"/>
    <w:unhideWhenUsed/>
    <w:qFormat/>
    <w:uiPriority w:val="0"/>
    <w:pPr>
      <w:keepNext/>
      <w:keepLines/>
      <w:adjustRightInd w:val="0"/>
      <w:snapToGrid w:val="0"/>
      <w:ind w:firstLine="0" w:firstLineChars="0"/>
      <w:jc w:val="left"/>
      <w:outlineLvl w:val="3"/>
    </w:pPr>
    <w:rPr>
      <w:rFonts w:ascii="Times New Roman" w:hAnsi="Times New Roman" w:eastAsia="宋体" w:cs="Times New Roman"/>
      <w:bCs/>
      <w:szCs w:val="28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0"/>
    <w:pPr>
      <w:spacing w:beforeLines="50"/>
      <w:jc w:val="center"/>
      <w:outlineLvl w:val="0"/>
    </w:pPr>
    <w:rPr>
      <w:rFonts w:cs="Times New Roman"/>
      <w:b/>
      <w:bCs/>
      <w:szCs w:val="32"/>
    </w:rPr>
  </w:style>
  <w:style w:type="paragraph" w:styleId="7">
    <w:name w:val="Normal Indent"/>
    <w:basedOn w:val="1"/>
    <w:next w:val="6"/>
    <w:qFormat/>
    <w:uiPriority w:val="0"/>
    <w:pPr>
      <w:ind w:firstLine="420" w:firstLineChars="200"/>
    </w:pPr>
  </w:style>
  <w:style w:type="paragraph" w:styleId="8">
    <w:name w:val="Body Text"/>
    <w:basedOn w:val="1"/>
    <w:next w:val="1"/>
    <w:qFormat/>
    <w:uiPriority w:val="0"/>
    <w:pPr>
      <w:snapToGrid w:val="0"/>
      <w:jc w:val="center"/>
    </w:pPr>
    <w:rPr>
      <w:rFonts w:ascii="Arial" w:hAnsi="Arial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2"/>
    <w:basedOn w:val="1"/>
    <w:next w:val="1"/>
    <w:qFormat/>
    <w:uiPriority w:val="0"/>
    <w:pPr>
      <w:ind w:left="420" w:leftChars="200"/>
    </w:pPr>
  </w:style>
  <w:style w:type="paragraph" w:styleId="1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2411</Words>
  <Characters>2513</Characters>
  <Lines>0</Lines>
  <Paragraphs>0</Paragraphs>
  <TotalTime>0</TotalTime>
  <ScaleCrop>false</ScaleCrop>
  <LinksUpToDate>false</LinksUpToDate>
  <CharactersWithSpaces>2530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2020-06-16T07:28:00Z</dcterms:created>
  <dc:creator>Administrator</dc:creator>
  <cp:lastModifiedBy>蓝澜</cp:lastModifiedBy>
  <dcterms:modified xsi:type="dcterms:W3CDTF">2022-12-26T05:13:49Z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B17265DE7CE24BF2B681CC3EF9D1D742</vt:lpwstr>
  </property>
</Properties>
</file>