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0" w:leftChars="0" w:firstLine="900" w:firstLineChars="300"/>
        <w:rPr>
          <w:rFonts w:hint="eastAsia" w:eastAsia="宋体"/>
          <w:color w:val="auto"/>
          <w:sz w:val="30"/>
          <w:szCs w:val="30"/>
          <w:lang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auto"/>
          <w:position w:val="-54"/>
          <w:sz w:val="22"/>
          <w:szCs w:val="22"/>
          <w:highlight w:val="none"/>
          <w:lang w:val="en-US" w:eastAsia="zh-CN"/>
        </w:rPr>
      </w:pPr>
    </w:p>
    <w:p>
      <w:pPr>
        <w:pStyle w:val="3"/>
        <w:topLinePunct/>
        <w:spacing w:line="1000" w:lineRule="exact"/>
        <w:ind w:firstLine="0" w:firstLineChars="0"/>
        <w:rPr>
          <w:rFonts w:hint="default" w:ascii="Times New Roman" w:hAnsi="Times New Roman" w:eastAsia="宋体" w:cs="Times New Roman"/>
          <w:b/>
          <w:bCs/>
          <w:color w:val="auto"/>
          <w:spacing w:val="20"/>
          <w:sz w:val="48"/>
          <w:szCs w:val="48"/>
          <w:lang w:eastAsia="zh-CN"/>
        </w:rPr>
      </w:pPr>
      <w:r>
        <w:rPr>
          <w:rFonts w:hint="default" w:ascii="Times New Roman" w:hAnsi="Times New Roman" w:eastAsia="宋体" w:cs="Times New Roman"/>
          <w:b/>
          <w:bCs/>
          <w:color w:val="auto"/>
          <w:spacing w:val="20"/>
          <w:sz w:val="48"/>
          <w:szCs w:val="48"/>
          <w:lang w:eastAsia="zh-CN"/>
        </w:rPr>
        <w:t>吴桥运河文化展示馆（吴桥县杂技文化产业园展馆区）项目地块</w:t>
      </w:r>
    </w:p>
    <w:p>
      <w:pPr>
        <w:pStyle w:val="3"/>
        <w:topLinePunct/>
        <w:spacing w:line="1000" w:lineRule="exact"/>
        <w:ind w:firstLine="0" w:firstLineChars="0"/>
        <w:rPr>
          <w:rFonts w:hint="eastAsia" w:ascii="宋体" w:hAnsi="宋体" w:eastAsia="宋体" w:cs="宋体"/>
          <w:b/>
          <w:bCs/>
          <w:color w:val="auto"/>
          <w:spacing w:val="20"/>
          <w:sz w:val="56"/>
          <w:szCs w:val="56"/>
          <w:highlight w:val="yellow"/>
          <w:lang w:eastAsia="zh-CN"/>
        </w:rPr>
      </w:pPr>
      <w:r>
        <w:rPr>
          <w:rFonts w:hint="default" w:ascii="Times New Roman" w:hAnsi="Times New Roman" w:eastAsia="宋体" w:cs="Times New Roman"/>
          <w:b/>
          <w:bCs/>
          <w:color w:val="auto"/>
          <w:spacing w:val="20"/>
          <w:sz w:val="48"/>
          <w:szCs w:val="48"/>
          <w:lang w:eastAsia="zh-CN"/>
        </w:rPr>
        <w:t>土壤污染状况调查报告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w:t>
      </w:r>
      <w:r>
        <w:rPr>
          <w:rFonts w:hint="eastAsia" w:ascii="Times New Roman" w:hAnsi="Times New Roman" w:eastAsia="宋体" w:cs="Times New Roman"/>
          <w:b/>
          <w:bCs/>
          <w:color w:val="auto"/>
          <w:sz w:val="36"/>
          <w:szCs w:val="36"/>
          <w:highlight w:val="none"/>
          <w:lang w:eastAsia="zh-CN"/>
        </w:rPr>
        <w:t>公示本</w:t>
      </w:r>
      <w:r>
        <w:rPr>
          <w:rFonts w:hint="default" w:ascii="Times New Roman" w:hAnsi="Times New Roman" w:eastAsia="宋体" w:cs="Times New Roman"/>
          <w:b/>
          <w:bCs/>
          <w:color w:val="auto"/>
          <w:sz w:val="36"/>
          <w:szCs w:val="36"/>
          <w:highlight w:val="none"/>
        </w:rPr>
        <w:t>）</w:t>
      </w:r>
    </w:p>
    <w:p>
      <w:pPr>
        <w:pStyle w:val="3"/>
        <w:topLinePunct/>
        <w:spacing w:line="360" w:lineRule="auto"/>
        <w:ind w:firstLine="0" w:firstLineChars="0"/>
        <w:rPr>
          <w:rFonts w:hint="eastAsia" w:ascii="Times New Roman" w:hAnsi="Times New Roman" w:eastAsia="宋体" w:cs="Times New Roman"/>
          <w:b/>
          <w:color w:val="auto"/>
          <w:spacing w:val="20"/>
          <w:sz w:val="72"/>
          <w:szCs w:val="72"/>
          <w:highlight w:val="yellow"/>
          <w:lang w:eastAsia="zh-CN"/>
        </w:rPr>
      </w:pPr>
      <w:bookmarkStart w:id="75" w:name="_GoBack"/>
      <w:bookmarkEnd w:id="75"/>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pStyle w:val="14"/>
        <w:rPr>
          <w:rFonts w:ascii="Times New Roman" w:cs="Times New Roman"/>
          <w:color w:val="auto"/>
          <w:highlight w:val="yellow"/>
        </w:rPr>
      </w:pP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委托单位：</w:t>
      </w:r>
      <w:r>
        <w:rPr>
          <w:rFonts w:hint="eastAsia" w:ascii="Times New Roman" w:hAnsi="Times New Roman" w:cs="Times New Roman"/>
          <w:b/>
          <w:color w:val="auto"/>
          <w:kern w:val="2"/>
          <w:sz w:val="32"/>
          <w:szCs w:val="32"/>
          <w:highlight w:val="none"/>
          <w:lang w:eastAsia="zh-CN"/>
        </w:rPr>
        <w:t>吴桥润城建设投资集团有限公司</w:t>
      </w: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编制单位：</w:t>
      </w:r>
      <w:r>
        <w:rPr>
          <w:rFonts w:hint="eastAsia" w:ascii="Times New Roman" w:hAnsi="Times New Roman" w:cs="Times New Roman"/>
          <w:b/>
          <w:color w:val="auto"/>
          <w:kern w:val="2"/>
          <w:sz w:val="32"/>
          <w:szCs w:val="32"/>
          <w:highlight w:val="none"/>
          <w:lang w:eastAsia="zh-CN"/>
        </w:rPr>
        <w:t>河北靓源环保工程有限公司</w:t>
      </w:r>
    </w:p>
    <w:p>
      <w:pPr>
        <w:spacing w:line="360" w:lineRule="auto"/>
        <w:ind w:left="0" w:leftChars="0" w:firstLine="964" w:firstLineChars="300"/>
        <w:rPr>
          <w:rFonts w:ascii="Times New Roman" w:hAnsi="Times New Roman" w:cs="Times New Roman"/>
          <w:color w:val="auto"/>
          <w:sz w:val="30"/>
          <w:szCs w:val="30"/>
        </w:rPr>
      </w:pPr>
      <w:r>
        <w:rPr>
          <w:rFonts w:ascii="Times New Roman" w:hAnsi="Times New Roman" w:cs="Times New Roman"/>
          <w:b/>
          <w:color w:val="auto"/>
          <w:kern w:val="2"/>
          <w:sz w:val="32"/>
          <w:szCs w:val="32"/>
          <w:highlight w:val="none"/>
        </w:rPr>
        <w:t xml:space="preserve">编制日期：二 〇 二 </w:t>
      </w:r>
      <w:r>
        <w:rPr>
          <w:rFonts w:hint="eastAsia" w:ascii="Times New Roman" w:hAnsi="Times New Roman" w:cs="Times New Roman"/>
          <w:b/>
          <w:color w:val="auto"/>
          <w:kern w:val="2"/>
          <w:sz w:val="32"/>
          <w:szCs w:val="32"/>
          <w:highlight w:val="none"/>
          <w:lang w:eastAsia="zh-CN"/>
        </w:rPr>
        <w:t>二</w:t>
      </w:r>
      <w:r>
        <w:rPr>
          <w:rFonts w:ascii="Times New Roman" w:hAnsi="Times New Roman" w:cs="Times New Roman"/>
          <w:b/>
          <w:color w:val="auto"/>
          <w:kern w:val="2"/>
          <w:sz w:val="32"/>
          <w:szCs w:val="32"/>
          <w:highlight w:val="none"/>
        </w:rPr>
        <w:t xml:space="preserve"> 年 </w:t>
      </w:r>
      <w:r>
        <w:rPr>
          <w:rFonts w:hint="eastAsia" w:cs="Times New Roman"/>
          <w:b/>
          <w:color w:val="auto"/>
          <w:kern w:val="2"/>
          <w:sz w:val="32"/>
          <w:szCs w:val="32"/>
          <w:highlight w:val="none"/>
          <w:lang w:eastAsia="zh-CN"/>
        </w:rPr>
        <w:t>十</w:t>
      </w:r>
      <w:r>
        <w:rPr>
          <w:rFonts w:hint="eastAsia" w:cs="Times New Roman"/>
          <w:b/>
          <w:color w:val="auto"/>
          <w:kern w:val="2"/>
          <w:sz w:val="32"/>
          <w:szCs w:val="32"/>
          <w:highlight w:val="none"/>
          <w:lang w:val="en-US" w:eastAsia="zh-CN"/>
        </w:rPr>
        <w:t xml:space="preserve"> </w:t>
      </w:r>
      <w:r>
        <w:rPr>
          <w:rFonts w:hint="eastAsia" w:cs="Times New Roman"/>
          <w:b/>
          <w:color w:val="auto"/>
          <w:kern w:val="2"/>
          <w:sz w:val="32"/>
          <w:szCs w:val="32"/>
          <w:highlight w:val="none"/>
          <w:lang w:eastAsia="zh-CN"/>
        </w:rPr>
        <w:t>二</w:t>
      </w:r>
      <w:r>
        <w:rPr>
          <w:rFonts w:ascii="Times New Roman" w:hAnsi="Times New Roman" w:cs="Times New Roman"/>
          <w:b/>
          <w:color w:val="auto"/>
          <w:kern w:val="2"/>
          <w:sz w:val="32"/>
          <w:szCs w:val="32"/>
          <w:highlight w:val="none"/>
        </w:rPr>
        <w:t xml:space="preserve"> 月</w:t>
      </w:r>
    </w:p>
    <w:p>
      <w:pPr>
        <w:tabs>
          <w:tab w:val="left" w:pos="1803"/>
        </w:tabs>
        <w:bidi w:val="0"/>
        <w:jc w:val="left"/>
        <w:rPr>
          <w:color w:val="auto"/>
          <w:lang w:val="en-US" w:eastAsia="zh-CN"/>
        </w:rPr>
        <w:sectPr>
          <w:pgSz w:w="11906" w:h="16838"/>
          <w:pgMar w:top="1440" w:right="1800" w:bottom="1440" w:left="1800" w:header="851" w:footer="992" w:gutter="0"/>
          <w:cols w:space="425" w:num="1"/>
          <w:docGrid w:type="lines" w:linePitch="312" w:charSpace="0"/>
        </w:sectPr>
      </w:pPr>
    </w:p>
    <w:p>
      <w:pPr>
        <w:pStyle w:val="6"/>
        <w:rPr>
          <w:rFonts w:hint="default" w:ascii="Times New Roman" w:hAnsi="Times New Roman" w:cs="Times New Roman"/>
          <w:color w:val="auto"/>
          <w:highlight w:val="none"/>
        </w:rPr>
      </w:pPr>
      <w:bookmarkStart w:id="0" w:name="_Toc32184"/>
      <w:bookmarkStart w:id="1" w:name="_Toc28744"/>
      <w:bookmarkStart w:id="2" w:name="_Toc10094"/>
      <w:bookmarkStart w:id="3" w:name="_Toc18003"/>
      <w:bookmarkStart w:id="4" w:name="_Toc29623"/>
      <w:bookmarkStart w:id="5" w:name="_Toc15590"/>
      <w:bookmarkStart w:id="6" w:name="_Toc3010"/>
      <w:bookmarkStart w:id="7" w:name="_Toc1002"/>
      <w:bookmarkStart w:id="8" w:name="_Toc27508"/>
      <w:bookmarkStart w:id="9" w:name="_Toc9131"/>
      <w:bookmarkStart w:id="10" w:name="_Toc16545"/>
      <w:bookmarkStart w:id="11" w:name="_Toc6266"/>
      <w:r>
        <w:rPr>
          <w:rFonts w:hint="default" w:ascii="Times New Roman" w:hAnsi="Times New Roman" w:cs="Times New Roman"/>
          <w:color w:val="auto"/>
          <w:highlight w:val="none"/>
        </w:rPr>
        <w:t xml:space="preserve">1 </w:t>
      </w:r>
      <w:r>
        <w:rPr>
          <w:rFonts w:hint="default" w:ascii="Times New Roman" w:hAnsi="Times New Roman" w:cs="Times New Roman"/>
          <w:color w:val="auto"/>
          <w:highlight w:val="none"/>
          <w:lang w:eastAsia="zh-CN"/>
        </w:rPr>
        <w:t>企业</w:t>
      </w:r>
      <w:r>
        <w:rPr>
          <w:rFonts w:hint="default" w:ascii="Times New Roman" w:hAnsi="Times New Roman" w:cs="Times New Roman"/>
          <w:color w:val="auto"/>
          <w:highlight w:val="none"/>
        </w:rPr>
        <w:t>概况</w:t>
      </w:r>
      <w:bookmarkEnd w:id="0"/>
      <w:bookmarkEnd w:id="1"/>
      <w:bookmarkEnd w:id="2"/>
      <w:bookmarkEnd w:id="3"/>
      <w:bookmarkEnd w:id="4"/>
      <w:bookmarkEnd w:id="5"/>
      <w:bookmarkEnd w:id="6"/>
      <w:bookmarkEnd w:id="7"/>
      <w:bookmarkEnd w:id="8"/>
      <w:bookmarkEnd w:id="9"/>
      <w:bookmarkEnd w:id="10"/>
      <w:bookmarkEnd w:id="11"/>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color w:val="000000" w:themeColor="text1"/>
          <w:highlight w:val="none"/>
          <w:lang w:val="en-US" w:eastAsia="zh-CN"/>
          <w14:textFill>
            <w14:solidFill>
              <w14:schemeClr w14:val="tx1"/>
            </w14:solidFill>
          </w14:textFill>
        </w:rPr>
      </w:pPr>
      <w:bookmarkStart w:id="12" w:name="_Toc22210"/>
      <w:bookmarkStart w:id="13" w:name="_Toc23754"/>
      <w:bookmarkStart w:id="14" w:name="_Toc1734"/>
      <w:bookmarkStart w:id="15" w:name="_Toc23724"/>
      <w:bookmarkStart w:id="16" w:name="_Toc24935"/>
      <w:bookmarkStart w:id="17" w:name="_Toc11747"/>
      <w:bookmarkStart w:id="18" w:name="_Toc18210"/>
      <w:bookmarkStart w:id="19" w:name="_Toc24902"/>
      <w:bookmarkStart w:id="20" w:name="_Toc25999"/>
      <w:bookmarkStart w:id="21" w:name="_Toc31102"/>
      <w:bookmarkStart w:id="22" w:name="_Toc11857"/>
      <w:bookmarkStart w:id="23" w:name="_Toc21244"/>
      <w:r>
        <w:rPr>
          <w:rFonts w:hint="default" w:ascii="Times New Roman" w:hAnsi="Times New Roman" w:cs="Times New Roman"/>
          <w:color w:val="000000" w:themeColor="text1"/>
          <w:lang w:eastAsia="zh-CN"/>
          <w14:textFill>
            <w14:solidFill>
              <w14:schemeClr w14:val="tx1"/>
            </w14:solidFill>
          </w14:textFill>
        </w:rPr>
        <w:t>吴桥运河文化展示馆（吴桥县杂技文化产业园展馆区）项目地块</w:t>
      </w:r>
      <w:r>
        <w:rPr>
          <w:rFonts w:hint="default" w:ascii="Times New Roman" w:hAnsi="Times New Roman" w:eastAsia="宋体" w:cs="Times New Roman"/>
          <w:color w:val="000000" w:themeColor="text1"/>
          <w14:textFill>
            <w14:solidFill>
              <w14:schemeClr w14:val="tx1"/>
            </w14:solidFill>
          </w14:textFill>
        </w:rPr>
        <w:t>位</w:t>
      </w:r>
      <w:r>
        <w:rPr>
          <w:rFonts w:hint="default" w:ascii="Times New Roman" w:hAnsi="Times New Roman" w:eastAsia="宋体" w:cs="Times New Roman"/>
          <w:color w:val="000000" w:themeColor="text1"/>
          <w:highlight w:val="none"/>
          <w14:textFill>
            <w14:solidFill>
              <w14:schemeClr w14:val="tx1"/>
            </w14:solidFill>
          </w14:textFill>
        </w:rPr>
        <w:t>于</w:t>
      </w:r>
      <w:r>
        <w:rPr>
          <w:rFonts w:hint="default" w:ascii="Times New Roman" w:hAnsi="Times New Roman" w:cs="Times New Roman"/>
          <w:color w:val="000000" w:themeColor="text1"/>
          <w:highlight w:val="none"/>
          <w:lang w:eastAsia="zh-CN"/>
          <w14:textFill>
            <w14:solidFill>
              <w14:schemeClr w14:val="tx1"/>
            </w14:solidFill>
          </w14:textFill>
        </w:rPr>
        <w:t>吴桥县105国道西侧，国际杂技大剧院北侧</w:t>
      </w:r>
      <w:r>
        <w:rPr>
          <w:rFonts w:hint="default" w:ascii="Times New Roman" w:hAnsi="Times New Roman" w:eastAsia="宋体" w:cs="Times New Roman"/>
          <w:color w:val="000000" w:themeColor="text1"/>
          <w:highlight w:val="none"/>
          <w14:textFill>
            <w14:solidFill>
              <w14:schemeClr w14:val="tx1"/>
            </w14:solidFill>
          </w14:textFill>
        </w:rPr>
        <w:t>，</w:t>
      </w:r>
      <w:r>
        <w:rPr>
          <w:rFonts w:hint="default" w:ascii="Times New Roman" w:hAnsi="Times New Roman" w:cs="Times New Roman"/>
          <w:color w:val="000000" w:themeColor="text1"/>
          <w:highlight w:val="none"/>
          <w:lang w:eastAsia="zh-CN"/>
          <w14:textFill>
            <w14:solidFill>
              <w14:schemeClr w14:val="tx1"/>
            </w14:solidFill>
          </w14:textFill>
        </w:rPr>
        <w:t>地块现状</w:t>
      </w:r>
      <w:r>
        <w:rPr>
          <w:rFonts w:hint="default" w:ascii="Times New Roman" w:hAnsi="Times New Roman" w:eastAsia="宋体" w:cs="Times New Roman"/>
          <w:color w:val="000000" w:themeColor="text1"/>
          <w:lang w:eastAsia="zh-CN"/>
          <w14:textFill>
            <w14:solidFill>
              <w14:schemeClr w14:val="tx1"/>
            </w14:solidFill>
          </w14:textFill>
        </w:rPr>
        <w:t>东</w:t>
      </w:r>
      <w:r>
        <w:rPr>
          <w:rFonts w:hint="default" w:ascii="Times New Roman" w:hAnsi="Times New Roman" w:cs="Times New Roman"/>
          <w:color w:val="000000" w:themeColor="text1"/>
          <w:lang w:eastAsia="zh-CN"/>
          <w14:textFill>
            <w14:solidFill>
              <w14:schemeClr w14:val="tx1"/>
            </w14:solidFill>
          </w14:textFill>
        </w:rPr>
        <w:t>、西、北</w:t>
      </w:r>
      <w:r>
        <w:rPr>
          <w:rFonts w:hint="default" w:ascii="Times New Roman" w:hAnsi="Times New Roman" w:eastAsia="宋体" w:cs="Times New Roman"/>
          <w:color w:val="000000" w:themeColor="text1"/>
          <w:lang w:eastAsia="zh-CN"/>
          <w14:textFill>
            <w14:solidFill>
              <w14:schemeClr w14:val="tx1"/>
            </w14:solidFill>
          </w14:textFill>
        </w:rPr>
        <w:t>至</w:t>
      </w:r>
      <w:r>
        <w:rPr>
          <w:rFonts w:hint="default" w:ascii="Times New Roman" w:hAnsi="Times New Roman" w:cs="Times New Roman"/>
          <w:color w:val="000000" w:themeColor="text1"/>
          <w:lang w:eastAsia="zh-CN"/>
          <w14:textFill>
            <w14:solidFill>
              <w14:schemeClr w14:val="tx1"/>
            </w14:solidFill>
          </w14:textFill>
        </w:rPr>
        <w:t>空地</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南</w:t>
      </w:r>
      <w:r>
        <w:rPr>
          <w:rFonts w:hint="default" w:ascii="Times New Roman" w:hAnsi="Times New Roman" w:eastAsia="宋体" w:cs="Times New Roman"/>
          <w:color w:val="000000" w:themeColor="text1"/>
          <w:lang w:eastAsia="zh-CN"/>
          <w14:textFill>
            <w14:solidFill>
              <w14:schemeClr w14:val="tx1"/>
            </w14:solidFill>
          </w14:textFill>
        </w:rPr>
        <w:t>至</w:t>
      </w:r>
      <w:r>
        <w:rPr>
          <w:rFonts w:hint="default" w:ascii="Times New Roman" w:hAnsi="Times New Roman" w:cs="Times New Roman"/>
          <w:color w:val="000000" w:themeColor="text1"/>
          <w:lang w:eastAsia="zh-CN"/>
          <w14:textFill>
            <w14:solidFill>
              <w14:schemeClr w14:val="tx1"/>
            </w14:solidFill>
          </w14:textFill>
        </w:rPr>
        <w:t>辽河</w:t>
      </w:r>
      <w:r>
        <w:rPr>
          <w:rFonts w:hint="default" w:ascii="Times New Roman" w:hAnsi="Times New Roman" w:eastAsia="宋体" w:cs="Times New Roman"/>
          <w:color w:val="000000" w:themeColor="text1"/>
          <w:lang w:eastAsia="zh-CN"/>
          <w14:textFill>
            <w14:solidFill>
              <w14:schemeClr w14:val="tx1"/>
            </w14:solidFill>
          </w14:textFill>
        </w:rPr>
        <w:t>路</w:t>
      </w:r>
      <w:r>
        <w:rPr>
          <w:rFonts w:hint="default" w:ascii="Times New Roman" w:hAnsi="Times New Roman" w:eastAsia="宋体" w:cs="Times New Roman"/>
          <w:color w:val="000000" w:themeColor="text1"/>
          <w14:textFill>
            <w14:solidFill>
              <w14:schemeClr w14:val="tx1"/>
            </w14:solidFill>
          </w14:textFill>
        </w:rPr>
        <w:t>，地块占地面积</w:t>
      </w:r>
      <w:r>
        <w:rPr>
          <w:rFonts w:hint="default" w:ascii="Times New Roman" w:hAnsi="Times New Roman" w:cs="Times New Roman"/>
          <w:color w:val="000000" w:themeColor="text1"/>
          <w:lang w:val="en-US" w:eastAsia="zh-CN"/>
          <w14:textFill>
            <w14:solidFill>
              <w14:schemeClr w14:val="tx1"/>
            </w14:solidFill>
          </w14:textFill>
        </w:rPr>
        <w:t>65989.6</w:t>
      </w:r>
      <w:r>
        <w:rPr>
          <w:rFonts w:hint="default" w:ascii="Times New Roman" w:hAnsi="Times New Roman" w:eastAsia="宋体" w:cs="Times New Roman"/>
          <w:color w:val="000000" w:themeColor="text1"/>
          <w14:textFill>
            <w14:solidFill>
              <w14:schemeClr w14:val="tx1"/>
            </w14:solidFill>
          </w14:textFill>
        </w:rPr>
        <w:t>m²（约合</w:t>
      </w:r>
      <w:r>
        <w:rPr>
          <w:rFonts w:hint="default" w:ascii="Times New Roman" w:hAnsi="Times New Roman" w:cs="Times New Roman"/>
          <w:color w:val="000000" w:themeColor="text1"/>
          <w:lang w:val="en-US" w:eastAsia="zh-CN"/>
          <w14:textFill>
            <w14:solidFill>
              <w14:schemeClr w14:val="tx1"/>
            </w14:solidFill>
          </w14:textFill>
        </w:rPr>
        <w:t>98.98</w:t>
      </w:r>
      <w:r>
        <w:rPr>
          <w:rFonts w:hint="default" w:ascii="Times New Roman" w:hAnsi="Times New Roman" w:eastAsia="宋体" w:cs="Times New Roman"/>
          <w:color w:val="000000" w:themeColor="text1"/>
          <w14:textFill>
            <w14:solidFill>
              <w14:schemeClr w14:val="tx1"/>
            </w14:solidFill>
          </w14:textFill>
        </w:rPr>
        <w:t>亩）。地块</w:t>
      </w:r>
      <w:r>
        <w:rPr>
          <w:rFonts w:hint="default" w:ascii="Times New Roman" w:hAnsi="Times New Roman" w:cs="Times New Roman"/>
          <w:color w:val="000000" w:themeColor="text1"/>
          <w:lang w:val="en-US" w:eastAsia="zh-CN"/>
          <w14:textFill>
            <w14:solidFill>
              <w14:schemeClr w14:val="tx1"/>
            </w14:solidFill>
          </w14:textFill>
        </w:rPr>
        <w:t>历史上</w:t>
      </w:r>
      <w:r>
        <w:rPr>
          <w:rFonts w:hint="default" w:ascii="Times New Roman" w:hAnsi="Times New Roman" w:eastAsia="宋体" w:cs="Times New Roman"/>
          <w:color w:val="000000" w:themeColor="text1"/>
          <w:lang w:eastAsia="zh-CN"/>
          <w14:textFill>
            <w14:solidFill>
              <w14:schemeClr w14:val="tx1"/>
            </w14:solidFill>
          </w14:textFill>
        </w:rPr>
        <w:t>一直为</w:t>
      </w:r>
      <w:r>
        <w:rPr>
          <w:rFonts w:hint="default" w:ascii="Times New Roman" w:hAnsi="Times New Roman" w:cs="Times New Roman"/>
          <w:color w:val="000000" w:themeColor="text1"/>
          <w:lang w:eastAsia="zh-CN"/>
          <w14:textFill>
            <w14:solidFill>
              <w14:schemeClr w14:val="tx1"/>
            </w14:solidFill>
          </w14:textFill>
        </w:rPr>
        <w:t>农田</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000000" w:themeColor="text1"/>
          <w:lang w:eastAsia="zh-CN"/>
          <w14:textFill>
            <w14:solidFill>
              <w14:schemeClr w14:val="tx1"/>
            </w14:solidFill>
          </w14:textFill>
        </w:rPr>
        <w:t>该地块</w:t>
      </w:r>
      <w:r>
        <w:rPr>
          <w:rFonts w:hint="default" w:ascii="Times New Roman" w:hAnsi="Times New Roman" w:cs="Times New Roman"/>
          <w:color w:val="000000" w:themeColor="text1"/>
          <w:lang w:eastAsia="zh-CN"/>
          <w14:textFill>
            <w14:solidFill>
              <w14:schemeClr w14:val="tx1"/>
            </w14:solidFill>
          </w14:textFill>
        </w:rPr>
        <w:t>规划用地性质为文化设施用地，</w:t>
      </w:r>
      <w:r>
        <w:rPr>
          <w:rFonts w:hint="default" w:ascii="Times New Roman" w:hAnsi="Times New Roman" w:cs="Times New Roman"/>
          <w:color w:val="000000" w:themeColor="text1"/>
          <w:highlight w:val="none"/>
          <w:lang w:val="en-US" w:eastAsia="zh-CN"/>
          <w14:textFill>
            <w14:solidFill>
              <w14:schemeClr w14:val="tx1"/>
            </w14:solidFill>
          </w14:textFill>
        </w:rPr>
        <w:t>拟建设吴桥运河文化展示馆（吴桥县杂技文化产业园展馆区）项目。</w:t>
      </w:r>
    </w:p>
    <w:p>
      <w:pPr>
        <w:keepNext w:val="0"/>
        <w:keepLines w:val="0"/>
        <w:pageBreakBefore w:val="0"/>
        <w:widowControl/>
        <w:kinsoku/>
        <w:wordWrap/>
        <w:overflowPunct/>
        <w:topLinePunct w:val="0"/>
        <w:autoSpaceDE/>
        <w:autoSpaceDN/>
        <w:bidi w:val="0"/>
        <w:adjustRightInd w:val="0"/>
        <w:snapToGrid w:val="0"/>
        <w:spacing w:line="480" w:lineRule="exact"/>
        <w:ind w:firstLine="480"/>
        <w:textAlignment w:val="auto"/>
        <w:rPr>
          <w:color w:val="auto"/>
        </w:rPr>
      </w:pPr>
      <w:r>
        <w:rPr>
          <w:rFonts w:hint="default" w:ascii="Times New Roman" w:hAnsi="Times New Roman" w:cs="Times New Roman"/>
        </w:rPr>
        <w:t>根据《中华人民共和国土壤污染防治法》第五十九条：用途变更为住宅、公共管理与公共服务用地的，变更前应当按照规定进行土壤污染状况调查。</w:t>
      </w:r>
      <w:r>
        <w:rPr>
          <w:rFonts w:hint="default" w:ascii="Times New Roman" w:hAnsi="Times New Roman" w:cs="Times New Roman"/>
          <w:color w:val="000000" w:themeColor="text1"/>
          <w:lang w:eastAsia="zh-CN"/>
          <w14:textFill>
            <w14:solidFill>
              <w14:schemeClr w14:val="tx1"/>
            </w14:solidFill>
          </w14:textFill>
        </w:rPr>
        <w:t>吴桥运河文化展示馆（吴桥县杂技文化产业园展馆区）项目地块</w:t>
      </w:r>
      <w:r>
        <w:rPr>
          <w:rFonts w:hint="default" w:ascii="Times New Roman" w:hAnsi="Times New Roman" w:cs="Times New Roman"/>
        </w:rPr>
        <w:t>性质由原来的</w:t>
      </w:r>
      <w:r>
        <w:rPr>
          <w:rFonts w:hint="default" w:ascii="Times New Roman" w:hAnsi="Times New Roman" w:cs="Times New Roman"/>
          <w:lang w:val="en-US" w:eastAsia="zh-CN"/>
        </w:rPr>
        <w:t>村</w:t>
      </w:r>
      <w:r>
        <w:rPr>
          <w:rFonts w:hint="default" w:ascii="Times New Roman" w:hAnsi="Times New Roman" w:cs="Times New Roman"/>
        </w:rPr>
        <w:t>集体用地变更为公共管理与公共服务用地</w:t>
      </w:r>
      <w:r>
        <w:rPr>
          <w:rFonts w:hint="default" w:ascii="Times New Roman" w:hAnsi="Times New Roman" w:cs="Times New Roman"/>
          <w:lang w:eastAsia="zh-CN"/>
        </w:rPr>
        <w:t>中的</w:t>
      </w:r>
      <w:r>
        <w:rPr>
          <w:rFonts w:hint="default" w:ascii="Times New Roman" w:hAnsi="Times New Roman" w:cs="Times New Roman"/>
          <w:color w:val="000000" w:themeColor="text1"/>
          <w:lang w:eastAsia="zh-CN"/>
          <w14:textFill>
            <w14:solidFill>
              <w14:schemeClr w14:val="tx1"/>
            </w14:solidFill>
          </w14:textFill>
        </w:rPr>
        <w:t>文化设施用地</w:t>
      </w:r>
      <w:r>
        <w:rPr>
          <w:rFonts w:hint="default" w:ascii="Times New Roman" w:hAnsi="Times New Roman" w:cs="Times New Roman"/>
        </w:rPr>
        <w:t>，依据相关法规要求，该地块在开发利用之前，需要对其开展土壤污染状况调查工作，确保满足后续用地的要求。</w:t>
      </w:r>
    </w:p>
    <w:bookmarkEnd w:id="12"/>
    <w:bookmarkEnd w:id="13"/>
    <w:bookmarkEnd w:id="14"/>
    <w:bookmarkEnd w:id="15"/>
    <w:bookmarkEnd w:id="16"/>
    <w:bookmarkEnd w:id="17"/>
    <w:bookmarkEnd w:id="18"/>
    <w:bookmarkEnd w:id="19"/>
    <w:bookmarkEnd w:id="20"/>
    <w:bookmarkEnd w:id="21"/>
    <w:bookmarkEnd w:id="22"/>
    <w:bookmarkEnd w:id="23"/>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24" w:name="_Toc14783"/>
      <w:bookmarkStart w:id="25" w:name="_Toc26116"/>
      <w:bookmarkStart w:id="26" w:name="_Toc27021"/>
      <w:r>
        <w:rPr>
          <w:rFonts w:hint="default" w:ascii="Times New Roman" w:hAnsi="Times New Roman" w:cs="Times New Roman"/>
          <w:b/>
          <w:color w:val="auto"/>
          <w:sz w:val="28"/>
          <w:highlight w:val="none"/>
        </w:rPr>
        <w:t xml:space="preserve">2 </w:t>
      </w:r>
      <w:bookmarkEnd w:id="24"/>
      <w:bookmarkEnd w:id="25"/>
      <w:r>
        <w:rPr>
          <w:rFonts w:hint="eastAsia" w:cs="Times New Roman"/>
          <w:b/>
          <w:color w:val="auto"/>
          <w:sz w:val="28"/>
          <w:highlight w:val="none"/>
          <w:lang w:eastAsia="zh-CN"/>
        </w:rPr>
        <w:t>污染识别结论</w:t>
      </w:r>
      <w:bookmarkEnd w:id="26"/>
    </w:p>
    <w:p>
      <w:pPr>
        <w:spacing w:line="500" w:lineRule="exact"/>
        <w:ind w:firstLine="480"/>
        <w:rPr>
          <w:rFonts w:hint="default" w:ascii="Times New Roman" w:hAnsi="Times New Roman" w:eastAsia="宋体" w:cs="Times New Roman"/>
        </w:rPr>
      </w:pPr>
      <w:bookmarkStart w:id="27" w:name="_Toc11834"/>
      <w:bookmarkStart w:id="28" w:name="_Toc30638"/>
      <w:bookmarkStart w:id="29" w:name="_Toc24980"/>
      <w:bookmarkStart w:id="30" w:name="_Toc1501"/>
      <w:bookmarkStart w:id="31" w:name="_Toc12793"/>
      <w:bookmarkStart w:id="32" w:name="_Toc21463"/>
      <w:bookmarkStart w:id="33" w:name="_Toc7804"/>
      <w:bookmarkStart w:id="34" w:name="_Toc32447"/>
      <w:bookmarkStart w:id="35" w:name="_Toc4266"/>
      <w:bookmarkStart w:id="36" w:name="_Toc11635"/>
      <w:bookmarkStart w:id="37" w:name="_Toc18075"/>
      <w:r>
        <w:rPr>
          <w:rFonts w:hint="default" w:ascii="Times New Roman" w:hAnsi="Times New Roman" w:eastAsia="宋体" w:cs="Times New Roman"/>
        </w:rPr>
        <w:t>通过现场踏勘、收集地块现状和历史资料，分析认为，本地块不存在潜在污染源，</w:t>
      </w:r>
      <w:r>
        <w:rPr>
          <w:rFonts w:hint="default" w:ascii="Times New Roman" w:hAnsi="Times New Roman" w:eastAsia="宋体" w:cs="Times New Roman"/>
          <w:lang w:eastAsia="zh-CN"/>
        </w:rPr>
        <w:t>为进一步掌握地块当前土壤环境质量状况，同时考虑历史耕作化肥、农药的施用对土壤中重金属和农药的累积作用，对六六六、滴滴涕进行检测分析</w:t>
      </w:r>
    </w:p>
    <w:p>
      <w:pPr>
        <w:bidi w:val="0"/>
        <w:rPr>
          <w:rFonts w:hint="default"/>
          <w:highlight w:val="yellow"/>
        </w:rPr>
      </w:pPr>
      <w:r>
        <w:rPr>
          <w:rFonts w:hint="default" w:ascii="Times New Roman" w:hAnsi="Times New Roman" w:eastAsia="宋体" w:cs="Times New Roman"/>
          <w:highlight w:val="none"/>
          <w:lang w:eastAsia="zh-CN"/>
        </w:rPr>
        <w:t>周边企业中</w:t>
      </w:r>
      <w:r>
        <w:rPr>
          <w:rFonts w:hint="default" w:ascii="Times New Roman" w:hAnsi="Times New Roman" w:eastAsia="宋体" w:cs="Times New Roman"/>
          <w:highlight w:val="none"/>
          <w:lang w:val="en-US" w:eastAsia="zh-CN"/>
        </w:rPr>
        <w:t>吴桥顺达化工有限责任公司地块土壤初步调查存在污染因子超标，本地块可能存在的主要潜在污染因子为土</w:t>
      </w:r>
      <w:r>
        <w:rPr>
          <w:rFonts w:hint="default" w:ascii="Times New Roman" w:hAnsi="Times New Roman" w:eastAsia="宋体" w:cs="Times New Roman"/>
          <w:sz w:val="24"/>
          <w:szCs w:val="24"/>
          <w:highlight w:val="none"/>
          <w:lang w:val="en-US" w:eastAsia="zh-CN"/>
        </w:rPr>
        <w:t>壤：</w:t>
      </w:r>
      <w:r>
        <w:rPr>
          <w:rFonts w:hint="default" w:ascii="Times New Roman" w:hAnsi="Times New Roman" w:eastAsia="宋体" w:cs="Times New Roman"/>
          <w:color w:val="auto"/>
          <w:sz w:val="24"/>
          <w:szCs w:val="24"/>
          <w:highlight w:val="none"/>
          <w:lang w:val="en-US" w:eastAsia="zh-CN"/>
        </w:rPr>
        <w:t>重金属（砷、铅、镍）、氟化物</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多环芳烃（菲、萘、苯并[a]芘）</w:t>
      </w:r>
      <w:r>
        <w:rPr>
          <w:rFonts w:hint="eastAsia" w:cs="Times New Roman"/>
          <w:color w:val="auto"/>
          <w:sz w:val="24"/>
          <w:szCs w:val="24"/>
          <w:highlight w:val="none"/>
          <w:lang w:val="en-US" w:eastAsia="zh-CN"/>
        </w:rPr>
        <w:t>、</w:t>
      </w:r>
      <w:r>
        <w:rPr>
          <w:rFonts w:hint="default" w:ascii="Times New Roman" w:hAnsi="Times New Roman" w:eastAsia="宋体" w:cs="Times New Roman"/>
          <w:sz w:val="24"/>
          <w:szCs w:val="24"/>
          <w:highlight w:val="none"/>
          <w:lang w:val="en-US" w:eastAsia="zh-CN"/>
        </w:rPr>
        <w:t>1,2-二氯乙烷，地</w:t>
      </w:r>
      <w:r>
        <w:rPr>
          <w:rFonts w:hint="default" w:ascii="Times New Roman" w:hAnsi="Times New Roman" w:eastAsia="宋体" w:cs="Times New Roman"/>
          <w:highlight w:val="none"/>
          <w:lang w:val="en-US" w:eastAsia="zh-CN"/>
        </w:rPr>
        <w:t>下水：</w:t>
      </w:r>
      <w:r>
        <w:rPr>
          <w:rFonts w:hint="default" w:ascii="Times New Roman" w:hAnsi="Times New Roman" w:cs="Times New Roman"/>
          <w:highlight w:val="none"/>
          <w:lang w:val="en-US" w:eastAsia="zh-CN"/>
        </w:rPr>
        <w:t>硫酸盐、铅、1,2-二氯乙烷、pH值、硫化物、砷、六价铬、氨氮、硝酸盐、氰化物</w:t>
      </w:r>
      <w:r>
        <w:rPr>
          <w:rFonts w:hint="default" w:ascii="Times New Roman" w:hAnsi="Times New Roman" w:eastAsia="宋体" w:cs="Times New Roman"/>
          <w:highlight w:val="none"/>
          <w:lang w:val="en-US" w:eastAsia="zh-CN"/>
        </w:rPr>
        <w:t>；</w:t>
      </w:r>
      <w:r>
        <w:rPr>
          <w:rFonts w:hint="default" w:ascii="Times New Roman" w:hAnsi="Times New Roman" w:eastAsia="宋体" w:cs="Times New Roman"/>
          <w:lang w:val="en-US" w:eastAsia="zh-CN"/>
        </w:rPr>
        <w:t>河北豪施泵业有限公司地块可能的潜在污</w:t>
      </w:r>
      <w:r>
        <w:rPr>
          <w:rFonts w:hint="default" w:ascii="Times New Roman" w:hAnsi="Times New Roman" w:eastAsia="宋体" w:cs="Times New Roman"/>
          <w:sz w:val="24"/>
          <w:szCs w:val="24"/>
          <w:lang w:val="en-US" w:eastAsia="zh-CN"/>
        </w:rPr>
        <w:t>染因子为</w:t>
      </w:r>
      <w:r>
        <w:rPr>
          <w:rFonts w:hint="default" w:ascii="Times New Roman" w:hAnsi="Times New Roman" w:eastAsia="宋体" w:cs="Times New Roman"/>
          <w:color w:val="auto"/>
          <w:sz w:val="24"/>
          <w:szCs w:val="24"/>
          <w:highlight w:val="none"/>
          <w:lang w:val="en-US" w:eastAsia="zh-CN"/>
        </w:rPr>
        <w:t>重金属（砷、铅、镍）、氟化物</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sz w:val="24"/>
          <w:szCs w:val="24"/>
          <w:lang w:val="en-US" w:eastAsia="zh-CN"/>
        </w:rPr>
        <w:t>苯、甲苯。</w:t>
      </w:r>
      <w:r>
        <w:rPr>
          <w:rFonts w:hint="default" w:ascii="Times New Roman" w:hAnsi="Times New Roman" w:eastAsia="宋体" w:cs="Times New Roman"/>
          <w:color w:val="auto"/>
          <w:sz w:val="24"/>
          <w:szCs w:val="24"/>
          <w:highlight w:val="none"/>
          <w:lang w:val="en-US" w:eastAsia="zh-CN"/>
        </w:rPr>
        <w:t>吴桥县松盛酒业有限公司地块可能的潜在污染因子为氨氮，可能通过地下水迁移污染本地块。</w:t>
      </w:r>
    </w:p>
    <w:p>
      <w:pPr>
        <w:bidi w:val="0"/>
        <w:rPr>
          <w:rFonts w:hint="eastAsia"/>
          <w:highlight w:val="none"/>
          <w:lang w:val="en-US" w:eastAsia="zh-CN"/>
        </w:rPr>
      </w:pPr>
      <w:r>
        <w:rPr>
          <w:rFonts w:hint="default"/>
          <w:highlight w:val="none"/>
        </w:rPr>
        <w:t>根据污染识别结果，认为本地块存在被污染的可能性。需进行第二阶段土壤污染状况调查工作，根据污染识别结果，进行土壤和地下水样品的采集、分析检测工作，明确地块是否已受到污染。</w:t>
      </w:r>
    </w:p>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38" w:name="_Toc19932"/>
      <w:bookmarkStart w:id="39" w:name="_Toc6056"/>
      <w:bookmarkStart w:id="40" w:name="_Toc19472"/>
      <w:bookmarkStart w:id="41" w:name="_Toc26955"/>
      <w:r>
        <w:rPr>
          <w:rFonts w:hint="default" w:ascii="Times New Roman" w:hAnsi="Times New Roman" w:cs="Times New Roman"/>
          <w:b/>
          <w:color w:val="auto"/>
          <w:sz w:val="28"/>
          <w:highlight w:val="none"/>
        </w:rPr>
        <w:t xml:space="preserve">3 </w:t>
      </w:r>
      <w:bookmarkEnd w:id="27"/>
      <w:bookmarkEnd w:id="28"/>
      <w:bookmarkEnd w:id="29"/>
      <w:bookmarkEnd w:id="30"/>
      <w:bookmarkEnd w:id="31"/>
      <w:bookmarkEnd w:id="32"/>
      <w:bookmarkEnd w:id="33"/>
      <w:bookmarkEnd w:id="34"/>
      <w:bookmarkEnd w:id="35"/>
      <w:bookmarkEnd w:id="36"/>
      <w:bookmarkEnd w:id="37"/>
      <w:bookmarkStart w:id="42" w:name="_Toc6926"/>
      <w:bookmarkStart w:id="43" w:name="_Toc23933"/>
      <w:bookmarkStart w:id="44" w:name="_Toc426468293"/>
      <w:r>
        <w:rPr>
          <w:rFonts w:hint="default" w:ascii="Times New Roman" w:hAnsi="Times New Roman" w:cs="Times New Roman"/>
          <w:b/>
          <w:color w:val="auto"/>
          <w:sz w:val="28"/>
          <w:highlight w:val="none"/>
        </w:rPr>
        <w:t>土壤</w:t>
      </w:r>
      <w:r>
        <w:rPr>
          <w:rFonts w:hint="eastAsia" w:cs="Times New Roman"/>
          <w:b/>
          <w:color w:val="auto"/>
          <w:sz w:val="28"/>
          <w:highlight w:val="none"/>
          <w:lang w:eastAsia="zh-CN"/>
        </w:rPr>
        <w:t>初步采样</w:t>
      </w:r>
      <w:r>
        <w:rPr>
          <w:rFonts w:hint="default" w:ascii="Times New Roman" w:hAnsi="Times New Roman" w:cs="Times New Roman"/>
          <w:b/>
          <w:color w:val="auto"/>
          <w:sz w:val="28"/>
          <w:highlight w:val="none"/>
        </w:rPr>
        <w:t>分析</w:t>
      </w:r>
      <w:bookmarkEnd w:id="38"/>
      <w:bookmarkEnd w:id="39"/>
      <w:bookmarkEnd w:id="40"/>
      <w:r>
        <w:rPr>
          <w:rFonts w:hint="eastAsia" w:cs="Times New Roman"/>
          <w:b/>
          <w:color w:val="auto"/>
          <w:sz w:val="28"/>
          <w:highlight w:val="none"/>
          <w:lang w:eastAsia="zh-CN"/>
        </w:rPr>
        <w:t>结论</w:t>
      </w:r>
      <w:bookmarkEnd w:id="41"/>
    </w:p>
    <w:p>
      <w:pPr>
        <w:ind w:firstLine="480"/>
        <w:rPr>
          <w:rFonts w:hint="default" w:ascii="Times New Roman" w:hAnsi="Times New Roman" w:eastAsia="宋体" w:cs="Times New Roman"/>
          <w:color w:val="000000" w:themeColor="text1"/>
          <w:lang w:val="en-US" w:eastAsia="zh-CN"/>
          <w14:textFill>
            <w14:solidFill>
              <w14:schemeClr w14:val="tx1"/>
            </w14:solidFill>
          </w14:textFill>
        </w:rPr>
      </w:pPr>
      <w:bookmarkStart w:id="45" w:name="_Toc2089"/>
      <w:bookmarkStart w:id="46" w:name="_Toc17123"/>
      <w:bookmarkStart w:id="47" w:name="_Toc19815"/>
      <w:bookmarkStart w:id="48" w:name="_Toc22668"/>
      <w:bookmarkStart w:id="49" w:name="_Toc24903"/>
      <w:bookmarkStart w:id="50" w:name="_Toc20384"/>
      <w:bookmarkStart w:id="51" w:name="_Toc22591"/>
      <w:bookmarkStart w:id="52" w:name="_Toc24047"/>
      <w:bookmarkStart w:id="53" w:name="_Toc1900"/>
      <w:bookmarkStart w:id="54" w:name="_Toc11649"/>
      <w:r>
        <w:rPr>
          <w:rFonts w:hint="default" w:ascii="Times New Roman" w:hAnsi="Times New Roman" w:cs="Times New Roman"/>
          <w:color w:val="auto"/>
        </w:rPr>
        <w:t>我单位于202</w:t>
      </w:r>
      <w:r>
        <w:rPr>
          <w:rFonts w:hint="default" w:ascii="Times New Roman" w:hAnsi="Times New Roman" w:cs="Times New Roman"/>
          <w:color w:val="auto"/>
          <w:lang w:val="en-US" w:eastAsia="zh-CN"/>
        </w:rPr>
        <w:t>2</w:t>
      </w:r>
      <w:r>
        <w:rPr>
          <w:rFonts w:hint="default" w:ascii="Times New Roman" w:hAnsi="Times New Roman" w:cs="Times New Roman"/>
          <w:color w:val="auto"/>
        </w:rPr>
        <w:t>年</w:t>
      </w:r>
      <w:r>
        <w:rPr>
          <w:rFonts w:hint="default" w:ascii="Times New Roman" w:hAnsi="Times New Roman" w:cs="Times New Roman"/>
          <w:color w:val="auto"/>
          <w:lang w:val="en-US" w:eastAsia="zh-CN"/>
        </w:rPr>
        <w:t>9</w:t>
      </w:r>
      <w:r>
        <w:rPr>
          <w:rFonts w:hint="default" w:ascii="Times New Roman" w:hAnsi="Times New Roman" w:cs="Times New Roman"/>
          <w:color w:val="auto"/>
        </w:rPr>
        <w:t>月</w:t>
      </w:r>
      <w:r>
        <w:rPr>
          <w:rFonts w:hint="default" w:ascii="Times New Roman" w:hAnsi="Times New Roman" w:cs="Times New Roman"/>
          <w:color w:val="auto"/>
          <w:lang w:val="en-US" w:eastAsia="zh-CN"/>
        </w:rPr>
        <w:t>1</w:t>
      </w:r>
      <w:r>
        <w:rPr>
          <w:rFonts w:hint="default" w:ascii="Times New Roman" w:hAnsi="Times New Roman" w:cs="Times New Roman"/>
          <w:color w:val="auto"/>
        </w:rPr>
        <w:t>日~</w:t>
      </w:r>
      <w:r>
        <w:rPr>
          <w:rFonts w:hint="default" w:ascii="Times New Roman" w:hAnsi="Times New Roman" w:cs="Times New Roman"/>
          <w:color w:val="auto"/>
          <w:lang w:val="en-US" w:eastAsia="zh-CN"/>
        </w:rPr>
        <w:t>4</w:t>
      </w:r>
      <w:r>
        <w:rPr>
          <w:rFonts w:hint="default" w:ascii="Times New Roman" w:hAnsi="Times New Roman" w:cs="Times New Roman"/>
          <w:color w:val="auto"/>
        </w:rPr>
        <w:t>日对项目地块进行了钻探采样，</w:t>
      </w:r>
      <w:r>
        <w:rPr>
          <w:rFonts w:hint="default" w:ascii="Times New Roman" w:hAnsi="Times New Roman" w:eastAsia="宋体" w:cs="Times New Roman"/>
          <w:color w:val="000000" w:themeColor="text1"/>
          <w:lang w:val="en-US" w:eastAsia="zh-CN"/>
          <w14:textFill>
            <w14:solidFill>
              <w14:schemeClr w14:val="tx1"/>
            </w14:solidFill>
          </w14:textFill>
        </w:rPr>
        <w:t>2022年09月06日对地下水进行采样，</w:t>
      </w:r>
      <w:r>
        <w:rPr>
          <w:rFonts w:hint="default" w:ascii="Times New Roman" w:hAnsi="Times New Roman" w:cs="Times New Roman"/>
          <w:color w:val="auto"/>
          <w:lang w:eastAsia="zh-CN"/>
        </w:rPr>
        <w:t>地块北部为农田，南部为硬化地面，中南部基坑开挖，挖土分别堆在基坑北侧和地块西侧，东部靠近企业生产。根据地块现状综合考虑，北部农田和南部硬化地面采用</w:t>
      </w:r>
      <w:r>
        <w:rPr>
          <w:rFonts w:hint="default" w:ascii="Times New Roman" w:hAnsi="Times New Roman" w:cs="Times New Roman"/>
          <w:color w:val="auto"/>
          <w:lang w:val="en-US" w:eastAsia="zh-CN"/>
        </w:rPr>
        <w:t>60m×60m</w:t>
      </w:r>
      <w:r>
        <w:rPr>
          <w:rFonts w:hint="default" w:ascii="Times New Roman" w:hAnsi="Times New Roman" w:cs="Times New Roman"/>
          <w:color w:val="auto"/>
          <w:lang w:eastAsia="zh-CN"/>
        </w:rPr>
        <w:t>网格布点法</w:t>
      </w:r>
      <w:r>
        <w:rPr>
          <w:rFonts w:hint="default" w:ascii="Times New Roman" w:hAnsi="Times New Roman" w:cs="Times New Roman"/>
          <w:color w:val="auto"/>
        </w:rPr>
        <w:t>共布设</w:t>
      </w:r>
      <w:r>
        <w:rPr>
          <w:rFonts w:hint="default" w:ascii="Times New Roman" w:hAnsi="Times New Roman" w:cs="Times New Roman"/>
          <w:color w:val="auto"/>
          <w:lang w:val="en-US" w:eastAsia="zh-CN"/>
        </w:rPr>
        <w:t>12</w:t>
      </w:r>
      <w:r>
        <w:rPr>
          <w:rFonts w:hint="default" w:ascii="Times New Roman" w:hAnsi="Times New Roman" w:cs="Times New Roman"/>
          <w:color w:val="auto"/>
        </w:rPr>
        <w:t>个土壤监测点</w:t>
      </w:r>
      <w:r>
        <w:rPr>
          <w:rFonts w:hint="default" w:ascii="Times New Roman" w:hAnsi="Times New Roman" w:cs="Times New Roman"/>
          <w:color w:val="auto"/>
          <w:lang w:eastAsia="zh-CN"/>
        </w:rPr>
        <w:t>，东南部无法布设网格的区域布设</w:t>
      </w:r>
      <w:r>
        <w:rPr>
          <w:rFonts w:hint="default" w:ascii="Times New Roman" w:hAnsi="Times New Roman" w:cs="Times New Roman"/>
          <w:color w:val="auto"/>
          <w:lang w:val="en-US" w:eastAsia="zh-CN"/>
        </w:rPr>
        <w:t>1个土壤监测点，</w:t>
      </w:r>
      <w:r>
        <w:rPr>
          <w:rFonts w:hint="default" w:ascii="Times New Roman" w:hAnsi="Times New Roman" w:cs="Times New Roman"/>
          <w:color w:val="auto"/>
          <w:lang w:eastAsia="zh-CN"/>
        </w:rPr>
        <w:t>中部基坑无布点条件，东部靠近企业的位置按照</w:t>
      </w:r>
      <w:r>
        <w:rPr>
          <w:rFonts w:hint="default" w:ascii="Times New Roman" w:hAnsi="Times New Roman" w:cs="Times New Roman"/>
          <w:color w:val="auto"/>
          <w:lang w:val="en-US" w:eastAsia="zh-CN"/>
        </w:rPr>
        <w:t>40m×40m</w:t>
      </w:r>
      <w:r>
        <w:rPr>
          <w:rFonts w:hint="default" w:ascii="Times New Roman" w:hAnsi="Times New Roman" w:cs="Times New Roman"/>
          <w:color w:val="auto"/>
          <w:lang w:eastAsia="zh-CN"/>
        </w:rPr>
        <w:t>网格布点法布设</w:t>
      </w:r>
      <w:r>
        <w:rPr>
          <w:rFonts w:hint="default" w:ascii="Times New Roman" w:hAnsi="Times New Roman" w:cs="Times New Roman"/>
          <w:color w:val="auto"/>
          <w:lang w:val="en-US" w:eastAsia="zh-CN"/>
        </w:rPr>
        <w:t>4个边界控制点，北侧和西侧的堆土按照5000m</w:t>
      </w:r>
      <w:r>
        <w:rPr>
          <w:rFonts w:hint="default" w:ascii="Times New Roman" w:hAnsi="Times New Roman" w:cs="Times New Roman"/>
          <w:color w:val="auto"/>
          <w:vertAlign w:val="superscript"/>
          <w:lang w:val="en-US" w:eastAsia="zh-CN"/>
        </w:rPr>
        <w:t>3</w:t>
      </w:r>
      <w:r>
        <w:rPr>
          <w:rFonts w:hint="default" w:ascii="Times New Roman" w:hAnsi="Times New Roman" w:cs="Times New Roman"/>
          <w:color w:val="auto"/>
          <w:lang w:val="en-US" w:eastAsia="zh-CN"/>
        </w:rPr>
        <w:t>一个样品进行采样分析，共采集18个土壤样品</w:t>
      </w:r>
      <w:r>
        <w:rPr>
          <w:rFonts w:hint="default" w:ascii="Times New Roman" w:hAnsi="Times New Roman" w:cs="Times New Roman"/>
          <w:color w:val="auto"/>
        </w:rPr>
        <w:t>。</w:t>
      </w:r>
    </w:p>
    <w:p>
      <w:pPr>
        <w:bidi w:val="0"/>
        <w:rPr>
          <w:rFonts w:hint="eastAsia" w:cs="Times New Roman"/>
          <w:color w:val="auto"/>
          <w:highlight w:val="none"/>
          <w:lang w:eastAsia="zh-CN"/>
        </w:rPr>
      </w:pPr>
      <w:r>
        <w:rPr>
          <w:rFonts w:hint="default" w:ascii="Times New Roman" w:hAnsi="Times New Roman" w:cs="Times New Roman"/>
          <w:color w:val="000000" w:themeColor="text1"/>
          <w:lang w:val="en-US" w:eastAsia="zh-CN"/>
          <w14:textFill>
            <w14:solidFill>
              <w14:schemeClr w14:val="tx1"/>
            </w14:solidFill>
          </w14:textFill>
        </w:rPr>
        <w:t>地块内</w:t>
      </w:r>
      <w:r>
        <w:rPr>
          <w:rFonts w:hint="default" w:ascii="Times New Roman" w:hAnsi="Times New Roman" w:cs="Times New Roman"/>
          <w:color w:val="000000" w:themeColor="text1"/>
          <w:lang w:eastAsia="zh-CN"/>
          <w14:textFill>
            <w14:solidFill>
              <w14:schemeClr w14:val="tx1"/>
            </w14:solidFill>
          </w14:textFill>
        </w:rPr>
        <w:t>共采集原状</w:t>
      </w:r>
      <w:r>
        <w:rPr>
          <w:rFonts w:hint="default" w:ascii="Times New Roman" w:hAnsi="Times New Roman" w:cs="Times New Roman"/>
          <w:color w:val="000000" w:themeColor="text1"/>
          <w14:textFill>
            <w14:solidFill>
              <w14:schemeClr w14:val="tx1"/>
            </w14:solidFill>
          </w14:textFill>
        </w:rPr>
        <w:t>土壤样品</w:t>
      </w:r>
      <w:r>
        <w:rPr>
          <w:rFonts w:hint="default" w:ascii="Times New Roman" w:hAnsi="Times New Roman" w:cs="Times New Roman"/>
          <w:color w:val="000000" w:themeColor="text1"/>
          <w:lang w:val="en-US" w:eastAsia="zh-CN"/>
          <w14:textFill>
            <w14:solidFill>
              <w14:schemeClr w14:val="tx1"/>
            </w14:solidFill>
          </w14:textFill>
        </w:rPr>
        <w:t>45组</w:t>
      </w:r>
      <w:r>
        <w:rPr>
          <w:rFonts w:hint="default" w:ascii="Times New Roman" w:hAnsi="Times New Roman" w:cs="Times New Roman"/>
          <w:color w:val="000000" w:themeColor="text1"/>
          <w14:textFill>
            <w14:solidFill>
              <w14:schemeClr w14:val="tx1"/>
            </w14:solidFill>
          </w14:textFill>
        </w:rPr>
        <w:t>，另有</w:t>
      </w:r>
      <w:r>
        <w:rPr>
          <w:rFonts w:hint="default" w:ascii="Times New Roman" w:hAnsi="Times New Roman" w:cs="Times New Roman"/>
          <w:color w:val="000000" w:themeColor="text1"/>
          <w:lang w:val="en-US" w:eastAsia="zh-CN"/>
          <w14:textFill>
            <w14:solidFill>
              <w14:schemeClr w14:val="tx1"/>
            </w14:solidFill>
          </w14:textFill>
        </w:rPr>
        <w:t>5</w:t>
      </w:r>
      <w:r>
        <w:rPr>
          <w:rFonts w:hint="default" w:ascii="Times New Roman" w:hAnsi="Times New Roman" w:cs="Times New Roman"/>
          <w:color w:val="000000" w:themeColor="text1"/>
          <w14:textFill>
            <w14:solidFill>
              <w14:schemeClr w14:val="tx1"/>
            </w14:solidFill>
          </w14:textFill>
        </w:rPr>
        <w:t>组现场平行样；</w:t>
      </w:r>
      <w:r>
        <w:rPr>
          <w:rFonts w:hint="default" w:ascii="Times New Roman" w:hAnsi="Times New Roman" w:cs="Times New Roman"/>
          <w:color w:val="000000" w:themeColor="text1"/>
          <w:lang w:eastAsia="zh-CN"/>
          <w14:textFill>
            <w14:solidFill>
              <w14:schemeClr w14:val="tx1"/>
            </w14:solidFill>
          </w14:textFill>
        </w:rPr>
        <w:t>堆土土壤样品</w:t>
      </w:r>
      <w:r>
        <w:rPr>
          <w:rFonts w:hint="default" w:ascii="Times New Roman" w:hAnsi="Times New Roman" w:cs="Times New Roman"/>
          <w:color w:val="000000" w:themeColor="text1"/>
          <w:lang w:val="en-US" w:eastAsia="zh-CN"/>
          <w14:textFill>
            <w14:solidFill>
              <w14:schemeClr w14:val="tx1"/>
            </w14:solidFill>
          </w14:textFill>
        </w:rPr>
        <w:t>18组，</w:t>
      </w:r>
      <w:r>
        <w:rPr>
          <w:rFonts w:hint="default" w:ascii="Times New Roman" w:hAnsi="Times New Roman" w:cs="Times New Roman"/>
          <w:color w:val="000000" w:themeColor="text1"/>
          <w14:textFill>
            <w14:solidFill>
              <w14:schemeClr w14:val="tx1"/>
            </w14:solidFill>
          </w14:textFill>
        </w:rPr>
        <w:t>另有</w:t>
      </w:r>
      <w:r>
        <w:rPr>
          <w:rFonts w:hint="default" w:ascii="Times New Roman" w:hAnsi="Times New Roman" w:cs="Times New Roman"/>
          <w:color w:val="000000" w:themeColor="text1"/>
          <w:lang w:val="en-US" w:eastAsia="zh-CN"/>
          <w14:textFill>
            <w14:solidFill>
              <w14:schemeClr w14:val="tx1"/>
            </w14:solidFill>
          </w14:textFill>
        </w:rPr>
        <w:t>2</w:t>
      </w:r>
      <w:r>
        <w:rPr>
          <w:rFonts w:hint="default" w:ascii="Times New Roman" w:hAnsi="Times New Roman" w:cs="Times New Roman"/>
          <w:color w:val="000000" w:themeColor="text1"/>
          <w14:textFill>
            <w14:solidFill>
              <w14:schemeClr w14:val="tx1"/>
            </w14:solidFill>
          </w14:textFill>
        </w:rPr>
        <w:t>组现场平行样；采集</w:t>
      </w:r>
      <w:r>
        <w:rPr>
          <w:rFonts w:hint="default" w:ascii="Times New Roman" w:hAnsi="Times New Roman" w:cs="Times New Roman"/>
          <w:color w:val="000000" w:themeColor="text1"/>
          <w:lang w:val="en-US" w:eastAsia="zh-CN"/>
          <w14:textFill>
            <w14:solidFill>
              <w14:schemeClr w14:val="tx1"/>
            </w14:solidFill>
          </w14:textFill>
        </w:rPr>
        <w:t>4</w:t>
      </w:r>
      <w:r>
        <w:rPr>
          <w:rFonts w:hint="default" w:ascii="Times New Roman" w:hAnsi="Times New Roman" w:cs="Times New Roman"/>
          <w:color w:val="000000" w:themeColor="text1"/>
          <w14:textFill>
            <w14:solidFill>
              <w14:schemeClr w14:val="tx1"/>
            </w14:solidFill>
          </w14:textFill>
        </w:rPr>
        <w:t>组地下水样品，另有1组现场平行样</w:t>
      </w:r>
      <w:r>
        <w:rPr>
          <w:rFonts w:hint="eastAsia" w:cs="Times New Roman"/>
          <w:color w:val="000000"/>
          <w:kern w:val="0"/>
          <w:sz w:val="24"/>
          <w:szCs w:val="24"/>
          <w:highlight w:val="none"/>
          <w:lang w:eastAsia="zh-CN"/>
        </w:rPr>
        <w:t>，</w:t>
      </w:r>
      <w:r>
        <w:rPr>
          <w:rFonts w:hint="default" w:ascii="Times New Roman" w:hAnsi="Times New Roman" w:cs="Times New Roman"/>
          <w:color w:val="auto"/>
          <w:highlight w:val="none"/>
        </w:rPr>
        <w:t>采集的样品</w:t>
      </w:r>
      <w:r>
        <w:rPr>
          <w:rFonts w:hint="eastAsia" w:cs="Times New Roman"/>
          <w:color w:val="auto"/>
          <w:highlight w:val="none"/>
          <w:lang w:eastAsia="zh-CN"/>
        </w:rPr>
        <w:t>全部由</w:t>
      </w:r>
      <w:r>
        <w:rPr>
          <w:rFonts w:hint="eastAsia" w:ascii="Times New Roman" w:hAnsi="Times New Roman" w:cs="Times New Roman"/>
          <w:color w:val="auto"/>
          <w:highlight w:val="none"/>
          <w:lang w:eastAsia="zh-CN"/>
        </w:rPr>
        <w:t>河北百润环境检测技术有限公司</w:t>
      </w:r>
      <w:r>
        <w:rPr>
          <w:rFonts w:hint="default" w:ascii="Times New Roman" w:hAnsi="Times New Roman" w:cs="Times New Roman"/>
          <w:color w:val="auto"/>
          <w:highlight w:val="none"/>
        </w:rPr>
        <w:t>进行化验分析</w:t>
      </w:r>
      <w:r>
        <w:rPr>
          <w:rFonts w:hint="eastAsia" w:cs="Times New Roman"/>
          <w:color w:val="auto"/>
          <w:highlight w:val="none"/>
          <w:lang w:eastAsia="zh-CN"/>
        </w:rPr>
        <w:t>。</w:t>
      </w:r>
    </w:p>
    <w:p>
      <w:pPr>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本项目地块各测试因子的监测结果和分析如下：</w:t>
      </w:r>
    </w:p>
    <w:p>
      <w:pPr>
        <w:bidi w:val="0"/>
        <w:rPr>
          <w:rFonts w:hint="eastAsia"/>
          <w:kern w:val="0"/>
        </w:rPr>
      </w:pPr>
      <w:r>
        <w:rPr>
          <w:rFonts w:hint="default" w:ascii="Times New Roman" w:hAnsi="Times New Roman" w:eastAsia="宋体" w:cs="Times New Roman"/>
          <w:highlight w:val="none"/>
        </w:rPr>
        <w:t>根据地块土壤样品检测结果，</w:t>
      </w:r>
      <w:r>
        <w:rPr>
          <w:rFonts w:hint="default" w:ascii="Times New Roman" w:hAnsi="Times New Roman" w:cs="Times New Roman"/>
          <w:highlight w:val="none"/>
          <w:lang w:eastAsia="zh-CN"/>
        </w:rPr>
        <w:t>地块内未扰动区域采集的</w:t>
      </w:r>
      <w:r>
        <w:rPr>
          <w:rFonts w:hint="default" w:ascii="Times New Roman" w:hAnsi="Times New Roman" w:eastAsia="宋体" w:cs="Times New Roman"/>
          <w:highlight w:val="none"/>
          <w:lang w:val="en-US" w:eastAsia="zh-CN"/>
        </w:rPr>
        <w:t>45</w:t>
      </w:r>
      <w:r>
        <w:rPr>
          <w:rFonts w:hint="default" w:ascii="Times New Roman" w:hAnsi="Times New Roman" w:eastAsia="宋体" w:cs="Times New Roman"/>
          <w:highlight w:val="none"/>
        </w:rPr>
        <w:t>个土壤样品</w:t>
      </w:r>
      <w:r>
        <w:rPr>
          <w:rFonts w:hint="default" w:ascii="Times New Roman" w:hAnsi="Times New Roman" w:eastAsia="宋体" w:cs="Times New Roman"/>
          <w:highlight w:val="none"/>
          <w:lang w:eastAsia="zh-CN"/>
        </w:rPr>
        <w:t>中，</w:t>
      </w:r>
      <w:r>
        <w:rPr>
          <w:rFonts w:hint="default" w:ascii="Times New Roman" w:hAnsi="Times New Roman" w:eastAsia="宋体" w:cs="Times New Roman"/>
          <w:highlight w:val="none"/>
          <w:lang w:val="en-US" w:eastAsia="zh-CN"/>
        </w:rPr>
        <w:t>测定的</w:t>
      </w:r>
      <w:r>
        <w:rPr>
          <w:rFonts w:hint="default" w:ascii="Times New Roman" w:hAnsi="Times New Roman" w:eastAsia="宋体" w:cs="Times New Roman"/>
          <w:highlight w:val="none"/>
        </w:rPr>
        <w:t>重金属（除六价铬外）因子</w:t>
      </w:r>
      <w:r>
        <w:rPr>
          <w:rFonts w:hint="default" w:ascii="Times New Roman" w:hAnsi="Times New Roman" w:eastAsia="宋体" w:cs="Times New Roman"/>
          <w:highlight w:val="none"/>
          <w:lang w:eastAsia="zh-CN"/>
        </w:rPr>
        <w:t>、氟化物均有检出，</w:t>
      </w:r>
      <w:r>
        <w:rPr>
          <w:rFonts w:hint="default" w:ascii="Times New Roman" w:hAnsi="Times New Roman" w:eastAsia="宋体" w:cs="Times New Roman"/>
          <w:highlight w:val="none"/>
          <w:lang w:val="en-US" w:eastAsia="zh-CN"/>
        </w:rPr>
        <w:t>但各检出因子的最大浓度均未超过本地块土壤调查所选用的筛选值，测定</w:t>
      </w:r>
      <w:r>
        <w:rPr>
          <w:rFonts w:hint="default" w:ascii="Times New Roman" w:hAnsi="Times New Roman" w:eastAsia="宋体" w:cs="Times New Roman"/>
          <w:highlight w:val="none"/>
        </w:rPr>
        <w:t>六价铬、VOCs、SVOCs</w:t>
      </w:r>
      <w:r>
        <w:rPr>
          <w:rFonts w:hint="default" w:ascii="Times New Roman" w:hAnsi="Times New Roman" w:eastAsia="宋体" w:cs="Times New Roman"/>
          <w:highlight w:val="none"/>
          <w:lang w:eastAsia="zh-CN"/>
        </w:rPr>
        <w:t>、</w:t>
      </w:r>
      <w:r>
        <w:rPr>
          <w:rFonts w:hint="default" w:ascii="Times New Roman" w:hAnsi="Times New Roman" w:eastAsia="宋体" w:cs="Times New Roman"/>
          <w:highlight w:val="none"/>
          <w:lang w:val="en-US" w:eastAsia="zh-CN"/>
        </w:rPr>
        <w:t>六六六、滴滴涕</w:t>
      </w:r>
      <w:r>
        <w:rPr>
          <w:rFonts w:hint="default" w:ascii="Times New Roman" w:hAnsi="Times New Roman" w:eastAsia="宋体" w:cs="Times New Roman"/>
          <w:highlight w:val="none"/>
        </w:rPr>
        <w:t>全部未检出</w:t>
      </w:r>
      <w:r>
        <w:rPr>
          <w:rFonts w:hint="default" w:ascii="Times New Roman" w:hAnsi="Times New Roman" w:eastAsia="宋体" w:cs="Times New Roman"/>
          <w:highlight w:val="none"/>
          <w:lang w:eastAsia="zh-CN"/>
        </w:rPr>
        <w:t>；堆土采集的</w:t>
      </w:r>
      <w:r>
        <w:rPr>
          <w:rFonts w:hint="default" w:ascii="Times New Roman" w:hAnsi="Times New Roman" w:eastAsia="宋体" w:cs="Times New Roman"/>
          <w:highlight w:val="none"/>
          <w:lang w:val="en-US" w:eastAsia="zh-CN"/>
        </w:rPr>
        <w:t>18个</w:t>
      </w:r>
      <w:r>
        <w:rPr>
          <w:rFonts w:hint="default" w:ascii="Times New Roman" w:hAnsi="Times New Roman" w:eastAsia="宋体" w:cs="Times New Roman"/>
          <w:highlight w:val="none"/>
        </w:rPr>
        <w:t>土壤样品</w:t>
      </w:r>
      <w:r>
        <w:rPr>
          <w:rFonts w:hint="default" w:ascii="Times New Roman" w:hAnsi="Times New Roman" w:eastAsia="宋体" w:cs="Times New Roman"/>
          <w:highlight w:val="none"/>
          <w:lang w:eastAsia="zh-CN"/>
        </w:rPr>
        <w:t>中，</w:t>
      </w:r>
      <w:r>
        <w:rPr>
          <w:rFonts w:hint="default" w:ascii="Times New Roman" w:hAnsi="Times New Roman" w:eastAsia="宋体" w:cs="Times New Roman"/>
          <w:highlight w:val="none"/>
          <w:lang w:val="en-US" w:eastAsia="zh-CN"/>
        </w:rPr>
        <w:t>测定的</w:t>
      </w:r>
      <w:r>
        <w:rPr>
          <w:rFonts w:hint="default" w:ascii="Times New Roman" w:hAnsi="Times New Roman" w:eastAsia="宋体" w:cs="Times New Roman"/>
          <w:highlight w:val="none"/>
        </w:rPr>
        <w:t>重金属（除六价铬外）因子</w:t>
      </w:r>
      <w:r>
        <w:rPr>
          <w:rFonts w:hint="default" w:ascii="Times New Roman" w:hAnsi="Times New Roman" w:eastAsia="宋体" w:cs="Times New Roman"/>
          <w:highlight w:val="none"/>
          <w:lang w:eastAsia="zh-CN"/>
        </w:rPr>
        <w:t>均有检出，</w:t>
      </w:r>
      <w:r>
        <w:rPr>
          <w:rFonts w:hint="default" w:ascii="Times New Roman" w:hAnsi="Times New Roman" w:eastAsia="宋体" w:cs="Times New Roman"/>
          <w:highlight w:val="none"/>
          <w:lang w:val="en-US" w:eastAsia="zh-CN"/>
        </w:rPr>
        <w:t>但各检出因子的最大浓度均未超过本地块土壤调查所选用的筛选值，测定</w:t>
      </w:r>
      <w:r>
        <w:rPr>
          <w:rFonts w:hint="default" w:ascii="Times New Roman" w:hAnsi="Times New Roman" w:eastAsia="宋体" w:cs="Times New Roman"/>
          <w:highlight w:val="none"/>
        </w:rPr>
        <w:t>六价铬、VOCs、SVOCs</w:t>
      </w:r>
      <w:r>
        <w:rPr>
          <w:rFonts w:hint="default" w:ascii="Times New Roman" w:hAnsi="Times New Roman" w:eastAsia="宋体" w:cs="Times New Roman"/>
          <w:highlight w:val="none"/>
          <w:lang w:eastAsia="zh-CN"/>
        </w:rPr>
        <w:t>、</w:t>
      </w:r>
      <w:r>
        <w:rPr>
          <w:rFonts w:hint="default" w:ascii="Times New Roman" w:hAnsi="Times New Roman" w:eastAsia="宋体" w:cs="Times New Roman"/>
          <w:highlight w:val="none"/>
          <w:lang w:val="en-US" w:eastAsia="zh-CN"/>
        </w:rPr>
        <w:t>六六六、滴滴涕</w:t>
      </w:r>
      <w:r>
        <w:rPr>
          <w:rFonts w:hint="default" w:ascii="Times New Roman" w:hAnsi="Times New Roman" w:eastAsia="宋体" w:cs="Times New Roman"/>
          <w:highlight w:val="none"/>
        </w:rPr>
        <w:t>全部未检出</w:t>
      </w:r>
      <w:r>
        <w:rPr>
          <w:rFonts w:hint="default" w:ascii="Times New Roman" w:hAnsi="Times New Roman" w:eastAsia="宋体" w:cs="Times New Roman"/>
          <w:highlight w:val="none"/>
          <w:lang w:eastAsia="zh-CN"/>
        </w:rPr>
        <w:t>。</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5" w:name="_Toc9258"/>
      <w:r>
        <w:rPr>
          <w:rFonts w:hint="eastAsia" w:cs="Times New Roman"/>
          <w:b/>
          <w:color w:val="auto"/>
          <w:sz w:val="28"/>
          <w:highlight w:val="none"/>
          <w:lang w:val="en-US" w:eastAsia="zh-CN"/>
        </w:rPr>
        <w:t>4</w:t>
      </w:r>
      <w:r>
        <w:rPr>
          <w:rFonts w:hint="default" w:ascii="Times New Roman" w:hAnsi="Times New Roman" w:cs="Times New Roman"/>
          <w:b/>
          <w:color w:val="auto"/>
          <w:sz w:val="28"/>
          <w:highlight w:val="none"/>
        </w:rPr>
        <w:t xml:space="preserve"> </w:t>
      </w:r>
      <w:r>
        <w:rPr>
          <w:rFonts w:hint="eastAsia" w:ascii="Times New Roman" w:hAnsi="Times New Roman" w:cs="Times New Roman"/>
          <w:b/>
          <w:color w:val="auto"/>
          <w:sz w:val="28"/>
          <w:highlight w:val="none"/>
          <w:lang w:eastAsia="zh-CN"/>
        </w:rPr>
        <w:t>地下水</w:t>
      </w:r>
      <w:r>
        <w:rPr>
          <w:rFonts w:hint="eastAsia" w:cs="Times New Roman"/>
          <w:b/>
          <w:color w:val="auto"/>
          <w:sz w:val="28"/>
          <w:highlight w:val="none"/>
          <w:lang w:eastAsia="zh-CN"/>
        </w:rPr>
        <w:t>初步采样分析结论</w:t>
      </w:r>
      <w:bookmarkEnd w:id="55"/>
    </w:p>
    <w:p>
      <w:pPr>
        <w:pStyle w:val="2"/>
        <w:ind w:firstLine="480"/>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根据本次调查范围内地下水检测结果的统计分析，</w:t>
      </w:r>
      <w:r>
        <w:rPr>
          <w:rFonts w:hint="default" w:ascii="Times New Roman" w:hAnsi="Times New Roman" w:cs="Times New Roman"/>
          <w:highlight w:val="none"/>
          <w:lang w:val="en-US" w:eastAsia="zh-CN"/>
        </w:rPr>
        <w:t>4</w:t>
      </w:r>
      <w:r>
        <w:rPr>
          <w:rFonts w:hint="default" w:ascii="Times New Roman" w:hAnsi="Times New Roman" w:cs="Times New Roman"/>
          <w:highlight w:val="none"/>
        </w:rPr>
        <w:t>口地下水中有检出的因子包括pH、耗氧量（COD</w:t>
      </w:r>
      <w:r>
        <w:rPr>
          <w:rFonts w:hint="default" w:ascii="Times New Roman" w:hAnsi="Times New Roman" w:cs="Times New Roman"/>
          <w:highlight w:val="none"/>
          <w:vertAlign w:val="subscript"/>
        </w:rPr>
        <w:t>Mn</w:t>
      </w:r>
      <w:r>
        <w:rPr>
          <w:rFonts w:hint="default" w:ascii="Times New Roman" w:hAnsi="Times New Roman" w:cs="Times New Roman"/>
          <w:highlight w:val="none"/>
        </w:rPr>
        <w:t>法以O</w:t>
      </w:r>
      <w:r>
        <w:rPr>
          <w:rFonts w:hint="default" w:ascii="Times New Roman" w:hAnsi="Times New Roman" w:cs="Times New Roman"/>
          <w:highlight w:val="none"/>
          <w:vertAlign w:val="subscript"/>
        </w:rPr>
        <w:t>2</w:t>
      </w:r>
      <w:r>
        <w:rPr>
          <w:rFonts w:hint="default" w:ascii="Times New Roman" w:hAnsi="Times New Roman" w:cs="Times New Roman"/>
          <w:highlight w:val="none"/>
        </w:rPr>
        <w:t>计）</w:t>
      </w:r>
      <w:r>
        <w:rPr>
          <w:rFonts w:hint="default" w:ascii="Times New Roman" w:hAnsi="Times New Roman" w:cs="Times New Roman"/>
          <w:highlight w:val="none"/>
          <w:lang w:eastAsia="zh-CN"/>
        </w:rPr>
        <w:t>、</w:t>
      </w:r>
      <w:r>
        <w:rPr>
          <w:rFonts w:hint="default" w:ascii="Times New Roman" w:hAnsi="Times New Roman" w:cs="Times New Roman"/>
          <w:highlight w:val="none"/>
        </w:rPr>
        <w:t>溶解性总固体</w:t>
      </w:r>
      <w:r>
        <w:rPr>
          <w:rFonts w:hint="default" w:ascii="Times New Roman" w:hAnsi="Times New Roman" w:cs="Times New Roman"/>
          <w:highlight w:val="none"/>
          <w:lang w:eastAsia="zh-CN"/>
        </w:rPr>
        <w:t>、</w:t>
      </w:r>
      <w:r>
        <w:rPr>
          <w:rFonts w:hint="default" w:ascii="Times New Roman" w:hAnsi="Times New Roman" w:cs="Times New Roman"/>
          <w:highlight w:val="none"/>
        </w:rPr>
        <w:t>总硬度</w:t>
      </w:r>
      <w:r>
        <w:rPr>
          <w:rFonts w:hint="default" w:ascii="Times New Roman" w:hAnsi="Times New Roman" w:cs="Times New Roman"/>
          <w:highlight w:val="none"/>
          <w:lang w:eastAsia="zh-CN"/>
        </w:rPr>
        <w:t>、</w:t>
      </w:r>
      <w:r>
        <w:rPr>
          <w:rFonts w:hint="default" w:ascii="Times New Roman" w:hAnsi="Times New Roman" w:cs="Times New Roman"/>
          <w:highlight w:val="none"/>
        </w:rPr>
        <w:t>硫酸盐</w:t>
      </w:r>
      <w:r>
        <w:rPr>
          <w:rFonts w:hint="default" w:ascii="Times New Roman" w:hAnsi="Times New Roman" w:cs="Times New Roman"/>
          <w:highlight w:val="none"/>
          <w:lang w:eastAsia="zh-CN"/>
        </w:rPr>
        <w:t>、</w:t>
      </w:r>
      <w:r>
        <w:rPr>
          <w:rFonts w:hint="default" w:ascii="Times New Roman" w:hAnsi="Times New Roman" w:cs="Times New Roman"/>
          <w:highlight w:val="none"/>
        </w:rPr>
        <w:t>氯化物</w:t>
      </w:r>
      <w:r>
        <w:rPr>
          <w:rFonts w:hint="default" w:ascii="Times New Roman" w:hAnsi="Times New Roman" w:cs="Times New Roman"/>
          <w:highlight w:val="none"/>
          <w:lang w:eastAsia="zh-CN"/>
        </w:rPr>
        <w:t>、</w:t>
      </w:r>
      <w:r>
        <w:rPr>
          <w:rFonts w:hint="default" w:ascii="Times New Roman" w:hAnsi="Times New Roman" w:cs="Times New Roman"/>
          <w:highlight w:val="none"/>
        </w:rPr>
        <w:t>氟化物</w:t>
      </w:r>
      <w:r>
        <w:rPr>
          <w:rFonts w:hint="default" w:ascii="Times New Roman" w:hAnsi="Times New Roman" w:cs="Times New Roman"/>
          <w:highlight w:val="none"/>
          <w:lang w:eastAsia="zh-CN"/>
        </w:rPr>
        <w:t>、</w:t>
      </w:r>
      <w:r>
        <w:rPr>
          <w:rFonts w:hint="default" w:ascii="Times New Roman" w:hAnsi="Times New Roman" w:cs="Times New Roman"/>
          <w:highlight w:val="none"/>
        </w:rPr>
        <w:t>亚硝酸盐（以N计）</w:t>
      </w:r>
      <w:r>
        <w:rPr>
          <w:rFonts w:hint="default" w:ascii="Times New Roman" w:hAnsi="Times New Roman" w:cs="Times New Roman"/>
          <w:highlight w:val="none"/>
          <w:lang w:eastAsia="zh-CN"/>
        </w:rPr>
        <w:t>、</w:t>
      </w:r>
      <w:r>
        <w:rPr>
          <w:rFonts w:hint="default" w:ascii="Times New Roman" w:hAnsi="Times New Roman" w:cs="Times New Roman"/>
          <w:highlight w:val="none"/>
        </w:rPr>
        <w:t>氨氮</w:t>
      </w:r>
      <w:r>
        <w:rPr>
          <w:rFonts w:hint="default" w:ascii="Times New Roman" w:hAnsi="Times New Roman" w:cs="Times New Roman"/>
          <w:highlight w:val="none"/>
          <w:lang w:eastAsia="zh-CN"/>
        </w:rPr>
        <w:t>、</w:t>
      </w:r>
      <w:r>
        <w:rPr>
          <w:rFonts w:hint="default" w:ascii="Times New Roman" w:hAnsi="Times New Roman" w:cs="Times New Roman"/>
          <w:highlight w:val="none"/>
        </w:rPr>
        <w:t>硝酸盐（以N计）</w:t>
      </w:r>
      <w:r>
        <w:rPr>
          <w:rFonts w:hint="default" w:ascii="Times New Roman" w:hAnsi="Times New Roman" w:cs="Times New Roman"/>
          <w:highlight w:val="none"/>
          <w:lang w:eastAsia="zh-CN"/>
        </w:rPr>
        <w:t>、</w:t>
      </w:r>
      <w:r>
        <w:rPr>
          <w:rFonts w:hint="default" w:ascii="Times New Roman" w:hAnsi="Times New Roman" w:cs="Times New Roman"/>
          <w:highlight w:val="none"/>
        </w:rPr>
        <w:t>钠</w:t>
      </w:r>
      <w:r>
        <w:rPr>
          <w:rFonts w:hint="default" w:ascii="Times New Roman" w:hAnsi="Times New Roman" w:cs="Times New Roman"/>
          <w:highlight w:val="none"/>
          <w:lang w:eastAsia="zh-CN"/>
        </w:rPr>
        <w:t>、</w:t>
      </w:r>
      <w:r>
        <w:rPr>
          <w:rFonts w:hint="default" w:ascii="Times New Roman" w:hAnsi="Times New Roman" w:cs="Times New Roman"/>
          <w:highlight w:val="none"/>
        </w:rPr>
        <w:t>锰</w:t>
      </w:r>
      <w:r>
        <w:rPr>
          <w:rFonts w:hint="default" w:ascii="Times New Roman" w:hAnsi="Times New Roman" w:cs="Times New Roman"/>
          <w:highlight w:val="none"/>
          <w:lang w:eastAsia="zh-CN"/>
        </w:rPr>
        <w:t>、</w:t>
      </w:r>
      <w:r>
        <w:rPr>
          <w:rFonts w:hint="default" w:ascii="Times New Roman" w:hAnsi="Times New Roman" w:cs="Times New Roman"/>
          <w:highlight w:val="none"/>
        </w:rPr>
        <w:t>铁</w:t>
      </w:r>
      <w:r>
        <w:rPr>
          <w:rFonts w:hint="default" w:ascii="Times New Roman" w:hAnsi="Times New Roman" w:cs="Times New Roman"/>
          <w:highlight w:val="none"/>
          <w:lang w:eastAsia="zh-CN"/>
        </w:rPr>
        <w:t>、</w:t>
      </w:r>
      <w:r>
        <w:rPr>
          <w:rFonts w:hint="default" w:ascii="Times New Roman" w:hAnsi="Times New Roman" w:cs="Times New Roman"/>
          <w:highlight w:val="none"/>
        </w:rPr>
        <w:t>锌</w:t>
      </w:r>
      <w:r>
        <w:rPr>
          <w:rFonts w:hint="default" w:ascii="Times New Roman" w:hAnsi="Times New Roman" w:cs="Times New Roman"/>
          <w:highlight w:val="none"/>
          <w:lang w:eastAsia="zh-CN"/>
        </w:rPr>
        <w:t>、</w:t>
      </w:r>
      <w:r>
        <w:rPr>
          <w:rFonts w:hint="default" w:ascii="Times New Roman" w:hAnsi="Times New Roman" w:cs="Times New Roman"/>
          <w:highlight w:val="none"/>
        </w:rPr>
        <w:t>硒</w:t>
      </w:r>
      <w:r>
        <w:rPr>
          <w:rFonts w:hint="default" w:ascii="Times New Roman" w:hAnsi="Times New Roman" w:cs="Times New Roman"/>
          <w:highlight w:val="none"/>
          <w:lang w:eastAsia="zh-CN"/>
        </w:rPr>
        <w:t>、</w:t>
      </w:r>
      <w:r>
        <w:rPr>
          <w:rFonts w:hint="default" w:ascii="Times New Roman" w:hAnsi="Times New Roman" w:cs="Times New Roman"/>
          <w:highlight w:val="none"/>
        </w:rPr>
        <w:t>砷共计</w:t>
      </w:r>
      <w:r>
        <w:rPr>
          <w:rFonts w:hint="default" w:ascii="Times New Roman" w:hAnsi="Times New Roman" w:cs="Times New Roman"/>
          <w:highlight w:val="none"/>
          <w:lang w:val="en-US" w:eastAsia="zh-CN"/>
        </w:rPr>
        <w:t>16</w:t>
      </w:r>
      <w:r>
        <w:rPr>
          <w:rFonts w:hint="default" w:ascii="Times New Roman" w:hAnsi="Times New Roman" w:cs="Times New Roman"/>
          <w:highlight w:val="none"/>
        </w:rPr>
        <w:t>项，其中溶解性总固体</w:t>
      </w:r>
      <w:r>
        <w:rPr>
          <w:rFonts w:hint="default" w:ascii="Times New Roman" w:hAnsi="Times New Roman" w:cs="Times New Roman"/>
          <w:highlight w:val="none"/>
          <w:lang w:eastAsia="zh-CN"/>
        </w:rPr>
        <w:t>、</w:t>
      </w:r>
      <w:r>
        <w:rPr>
          <w:rFonts w:hint="default" w:ascii="Times New Roman" w:hAnsi="Times New Roman" w:cs="Times New Roman"/>
          <w:highlight w:val="none"/>
        </w:rPr>
        <w:t>总硬度</w:t>
      </w:r>
      <w:r>
        <w:rPr>
          <w:rFonts w:hint="default" w:ascii="Times New Roman" w:hAnsi="Times New Roman" w:cs="Times New Roman"/>
          <w:highlight w:val="none"/>
          <w:lang w:eastAsia="zh-CN"/>
        </w:rPr>
        <w:t>、</w:t>
      </w:r>
      <w:r>
        <w:rPr>
          <w:rFonts w:hint="default" w:ascii="Times New Roman" w:hAnsi="Times New Roman" w:cs="Times New Roman"/>
          <w:highlight w:val="none"/>
        </w:rPr>
        <w:t>硫酸盐</w:t>
      </w:r>
      <w:r>
        <w:rPr>
          <w:rFonts w:hint="default" w:ascii="Times New Roman" w:hAnsi="Times New Roman" w:cs="Times New Roman"/>
          <w:highlight w:val="none"/>
          <w:lang w:eastAsia="zh-CN"/>
        </w:rPr>
        <w:t>、</w:t>
      </w:r>
      <w:r>
        <w:rPr>
          <w:rFonts w:hint="default" w:ascii="Times New Roman" w:hAnsi="Times New Roman" w:cs="Times New Roman"/>
          <w:highlight w:val="none"/>
        </w:rPr>
        <w:t>氯化物</w:t>
      </w:r>
      <w:r>
        <w:rPr>
          <w:rFonts w:hint="default" w:ascii="Times New Roman" w:hAnsi="Times New Roman" w:cs="Times New Roman"/>
          <w:highlight w:val="none"/>
          <w:lang w:eastAsia="zh-CN"/>
        </w:rPr>
        <w:t>、</w:t>
      </w:r>
      <w:r>
        <w:rPr>
          <w:rFonts w:hint="default" w:ascii="Times New Roman" w:hAnsi="Times New Roman" w:cs="Times New Roman"/>
          <w:highlight w:val="none"/>
        </w:rPr>
        <w:t>钠</w:t>
      </w:r>
      <w:r>
        <w:rPr>
          <w:rFonts w:hint="default" w:ascii="Times New Roman" w:hAnsi="Times New Roman" w:cs="Times New Roman"/>
          <w:highlight w:val="none"/>
          <w:lang w:eastAsia="zh-CN"/>
        </w:rPr>
        <w:t>均</w:t>
      </w:r>
      <w:r>
        <w:rPr>
          <w:rFonts w:hint="default" w:ascii="Times New Roman" w:hAnsi="Times New Roman" w:cs="Times New Roman"/>
          <w:color w:val="000000"/>
          <w:highlight w:val="none"/>
        </w:rPr>
        <w:t>超出《地下水质量标准》（GB/T14848-2017）Ⅲ类标准，</w:t>
      </w:r>
      <w:r>
        <w:rPr>
          <w:rFonts w:hint="default" w:ascii="Times New Roman" w:hAnsi="Times New Roman" w:cs="Times New Roman"/>
          <w:color w:val="000000"/>
          <w:highlight w:val="none"/>
          <w:lang w:eastAsia="zh-CN"/>
        </w:rPr>
        <w:t>耗氧量、亚硝酸盐、硝酸盐、氨氮、锰有个别点位超出</w:t>
      </w:r>
      <w:r>
        <w:rPr>
          <w:rFonts w:hint="default" w:ascii="Times New Roman" w:hAnsi="Times New Roman" w:cs="Times New Roman"/>
          <w:color w:val="000000"/>
          <w:highlight w:val="none"/>
        </w:rPr>
        <w:t>《地下水质量标准》（GB/T14848-2017）Ⅲ类标准</w:t>
      </w:r>
      <w:r>
        <w:rPr>
          <w:rFonts w:hint="default" w:ascii="Times New Roman" w:hAnsi="Times New Roman" w:cs="Times New Roman"/>
          <w:color w:val="000000"/>
          <w:highlight w:val="none"/>
          <w:lang w:eastAsia="zh-CN"/>
        </w:rPr>
        <w:t>，其余因子均未</w:t>
      </w:r>
      <w:r>
        <w:rPr>
          <w:rFonts w:hint="default" w:ascii="Times New Roman" w:hAnsi="Times New Roman" w:cs="Times New Roman"/>
          <w:color w:val="000000"/>
          <w:highlight w:val="none"/>
        </w:rPr>
        <w:t>超标</w:t>
      </w:r>
      <w:r>
        <w:rPr>
          <w:rFonts w:hint="default" w:ascii="Times New Roman" w:hAnsi="Times New Roman" w:cs="Times New Roman"/>
          <w:highlight w:val="none"/>
        </w:rPr>
        <w:t>。</w:t>
      </w:r>
    </w:p>
    <w:p>
      <w:pPr>
        <w:spacing w:line="500" w:lineRule="exact"/>
        <w:ind w:firstLine="480"/>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根据查阅的相关文献分析可知，沧州市浅层地下水溶解性总固体、总硬度、硫酸盐、氯化物</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钠含量偏高与沧州市地质结构有关，沧州市地处冲洪积平原区，地势平缓，潜层地下水开采层为第一含水组，地下水埋深较浅，排泄方式以人工开采为主，其次是潜水蒸发，侧向径流微弱，土壤中矿物成分经过不断风化淋溶，会造成地下水化学成分逐渐增多。本项目地块处于沧州地区，因此分析认为地块内地下水中溶解性总固体、总硬度、硫酸盐、氯化物</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钠超标属于区域地质原因</w:t>
      </w:r>
      <w:r>
        <w:rPr>
          <w:rFonts w:hint="default" w:ascii="Times New Roman" w:hAnsi="Times New Roman" w:eastAsia="宋体" w:cs="Times New Roman"/>
          <w:color w:val="auto"/>
          <w:lang w:eastAsia="zh-CN"/>
        </w:rPr>
        <w:t>；</w:t>
      </w:r>
      <w:r>
        <w:rPr>
          <w:rFonts w:hint="default" w:ascii="Times New Roman" w:hAnsi="Times New Roman" w:cs="Times New Roman"/>
          <w:color w:val="000000"/>
          <w:highlight w:val="none"/>
          <w:lang w:eastAsia="zh-CN"/>
        </w:rPr>
        <w:t>耗氧量、亚硝酸盐、硝酸盐、氨氮、锰个别点位超标可能是由于</w:t>
      </w:r>
      <w:r>
        <w:rPr>
          <w:rFonts w:hint="default" w:ascii="Times New Roman" w:hAnsi="Times New Roman" w:cs="Times New Roman"/>
          <w:color w:val="000000"/>
          <w:highlight w:val="none"/>
          <w:lang w:val="en-US" w:eastAsia="zh-CN"/>
        </w:rPr>
        <w:t>东侧原吴桥顺达化工有限公司污染经地下水迁移至本地块导致的</w:t>
      </w:r>
      <w:r>
        <w:rPr>
          <w:rFonts w:hint="default" w:ascii="Times New Roman" w:hAnsi="Times New Roman" w:eastAsia="宋体" w:cs="Times New Roman"/>
          <w:color w:val="auto"/>
          <w:lang w:eastAsia="zh-CN"/>
        </w:rPr>
        <w:t>。</w:t>
      </w:r>
    </w:p>
    <w:p>
      <w:pPr>
        <w:pStyle w:val="2"/>
        <w:ind w:firstLine="480"/>
        <w:rPr>
          <w:rFonts w:hint="default" w:ascii="Times New Roman" w:hAnsi="Times New Roman" w:eastAsia="宋体" w:cs="黑体"/>
          <w:b/>
          <w:bCs/>
          <w:color w:val="auto"/>
          <w:kern w:val="2"/>
          <w:sz w:val="24"/>
          <w:szCs w:val="24"/>
          <w:highlight w:val="none"/>
          <w:lang w:val="en-US" w:eastAsia="zh-CN" w:bidi="ar-SA"/>
        </w:rPr>
      </w:pPr>
      <w:r>
        <w:rPr>
          <w:rFonts w:hint="default" w:ascii="Times New Roman" w:hAnsi="Times New Roman" w:eastAsia="宋体" w:cs="Times New Roman"/>
          <w:color w:val="auto"/>
        </w:rPr>
        <w:t>本项目地块区域内已实现集中供水，地下水不开采饮用，浅层地下水暂无利用规划，不作为饮用水源。超标因子均为一般化学指标，对人体健康危害不大，在不饮用的情况下对人体健康不存在暴露途径，因此对未来居民不存在健康风险。</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6" w:name="_Toc19889"/>
      <w:bookmarkStart w:id="57" w:name="_Toc25591"/>
      <w:bookmarkStart w:id="58" w:name="_Toc12163"/>
      <w:bookmarkStart w:id="59" w:name="_Toc17853"/>
      <w:r>
        <w:rPr>
          <w:rFonts w:hint="eastAsia" w:cs="Times New Roman"/>
          <w:b/>
          <w:color w:val="auto"/>
          <w:sz w:val="28"/>
          <w:highlight w:val="none"/>
          <w:lang w:val="en-US" w:eastAsia="zh-CN"/>
        </w:rPr>
        <w:t>5</w:t>
      </w:r>
      <w:r>
        <w:rPr>
          <w:rFonts w:hint="default" w:ascii="Times New Roman" w:hAnsi="Times New Roman" w:cs="Times New Roman"/>
          <w:b/>
          <w:color w:val="auto"/>
          <w:sz w:val="28"/>
          <w:highlight w:val="none"/>
        </w:rPr>
        <w:t xml:space="preserve"> </w:t>
      </w:r>
      <w:r>
        <w:rPr>
          <w:rFonts w:hint="eastAsia" w:cs="Times New Roman"/>
          <w:b/>
          <w:color w:val="auto"/>
          <w:sz w:val="28"/>
          <w:highlight w:val="none"/>
          <w:lang w:eastAsia="zh-CN"/>
        </w:rPr>
        <w:t>地块初步</w:t>
      </w:r>
      <w:r>
        <w:rPr>
          <w:rFonts w:hint="default" w:ascii="Times New Roman" w:hAnsi="Times New Roman" w:cs="Times New Roman"/>
          <w:b/>
          <w:color w:val="auto"/>
          <w:sz w:val="28"/>
          <w:highlight w:val="none"/>
        </w:rPr>
        <w:t>调查结论</w:t>
      </w:r>
      <w:bookmarkEnd w:id="45"/>
      <w:bookmarkEnd w:id="46"/>
      <w:bookmarkEnd w:id="47"/>
      <w:bookmarkEnd w:id="48"/>
      <w:bookmarkEnd w:id="49"/>
      <w:bookmarkEnd w:id="50"/>
      <w:bookmarkEnd w:id="51"/>
      <w:bookmarkEnd w:id="52"/>
      <w:bookmarkEnd w:id="53"/>
      <w:bookmarkEnd w:id="54"/>
      <w:bookmarkEnd w:id="56"/>
      <w:bookmarkEnd w:id="57"/>
      <w:bookmarkEnd w:id="58"/>
      <w:bookmarkEnd w:id="59"/>
    </w:p>
    <w:p>
      <w:pPr>
        <w:ind w:firstLine="480"/>
        <w:rPr>
          <w:rFonts w:hint="default" w:ascii="Times New Roman" w:hAnsi="Times New Roman" w:eastAsia="宋体" w:cs="Times New Roman"/>
          <w:color w:val="auto"/>
          <w:lang w:val="en-US" w:eastAsia="zh-CN"/>
        </w:rPr>
      </w:pPr>
      <w:bookmarkStart w:id="60" w:name="_Toc16557"/>
      <w:bookmarkStart w:id="61" w:name="_Toc22256"/>
      <w:bookmarkStart w:id="62" w:name="_Toc27609"/>
      <w:bookmarkStart w:id="63" w:name="_Toc29026"/>
      <w:bookmarkStart w:id="64" w:name="_Toc30875"/>
      <w:bookmarkStart w:id="65" w:name="_Toc17273"/>
      <w:bookmarkStart w:id="66" w:name="_Toc7090"/>
      <w:bookmarkStart w:id="67" w:name="_Toc31760"/>
      <w:bookmarkStart w:id="68" w:name="_Toc2966"/>
      <w:bookmarkStart w:id="69" w:name="_Toc3494"/>
      <w:r>
        <w:rPr>
          <w:rFonts w:hint="default" w:ascii="Times New Roman" w:hAnsi="Times New Roman" w:cs="Times New Roman"/>
        </w:rPr>
        <w:t>根据本项目地块土壤及地下水样品检测结果的统计分析，本项目土壤监测结果均未超出本次土壤污染状况调查所用的筛选值，地下水部分因子监测结果超出本次土壤污染状况调查所用的评价值，但超标因子均为一般化学指标，对人体健康危害不大，在不饮用的情况下对人体健康不存在暴露途径，因此对未来</w:t>
      </w:r>
      <w:r>
        <w:rPr>
          <w:rFonts w:hint="default" w:ascii="Times New Roman" w:hAnsi="Times New Roman" w:cs="Times New Roman"/>
          <w:lang w:eastAsia="zh-CN"/>
        </w:rPr>
        <w:t>展馆人群</w:t>
      </w:r>
      <w:r>
        <w:rPr>
          <w:rFonts w:hint="default" w:ascii="Times New Roman" w:hAnsi="Times New Roman" w:cs="Times New Roman"/>
        </w:rPr>
        <w:t>不存在健康风险，整体认为地块无需启动详细调查及风险评估工作，本地块调查工作到该阶段（技术路线第二阶段）结束。该地块用地性质规划为</w:t>
      </w:r>
      <w:r>
        <w:rPr>
          <w:rFonts w:hint="default" w:ascii="Times New Roman" w:hAnsi="Times New Roman" w:cs="Times New Roman"/>
          <w:color w:val="000000" w:themeColor="text1"/>
          <w:lang w:eastAsia="zh-CN"/>
          <w14:textFill>
            <w14:solidFill>
              <w14:schemeClr w14:val="tx1"/>
            </w14:solidFill>
          </w14:textFill>
        </w:rPr>
        <w:t>文化设施用地</w:t>
      </w:r>
      <w:r>
        <w:rPr>
          <w:rFonts w:hint="default" w:ascii="Times New Roman" w:hAnsi="Times New Roman" w:cs="Times New Roman"/>
        </w:rPr>
        <w:t>，根据监测结果分析，本地块达到</w:t>
      </w:r>
      <w:r>
        <w:rPr>
          <w:rFonts w:hint="default" w:ascii="Times New Roman" w:hAnsi="Times New Roman" w:cs="Times New Roman"/>
          <w:lang w:eastAsia="zh-CN"/>
        </w:rPr>
        <w:t>二</w:t>
      </w:r>
      <w:r>
        <w:rPr>
          <w:rFonts w:hint="default" w:ascii="Times New Roman" w:hAnsi="Times New Roman" w:cs="Times New Roman"/>
        </w:rPr>
        <w:t>类用地标准，因此本地块可作为</w:t>
      </w:r>
      <w:r>
        <w:rPr>
          <w:rFonts w:hint="default" w:ascii="Times New Roman" w:hAnsi="Times New Roman" w:cs="Times New Roman"/>
          <w:color w:val="000000" w:themeColor="text1"/>
          <w:lang w:eastAsia="zh-CN"/>
          <w14:textFill>
            <w14:solidFill>
              <w14:schemeClr w14:val="tx1"/>
            </w14:solidFill>
          </w14:textFill>
        </w:rPr>
        <w:t>文化设施用地</w:t>
      </w:r>
      <w:r>
        <w:rPr>
          <w:rFonts w:hint="default" w:ascii="Times New Roman" w:hAnsi="Times New Roman" w:cs="Times New Roman"/>
        </w:rPr>
        <w:t>安全利用。</w:t>
      </w:r>
      <w:r>
        <w:rPr>
          <w:rFonts w:hint="eastAsia" w:ascii="Times New Roman" w:hAnsi="Times New Roman" w:cs="Times New Roman"/>
          <w:color w:val="auto"/>
          <w:lang w:val="en-US" w:eastAsia="zh-CN"/>
        </w:rPr>
        <w:t xml:space="preserve">    </w:t>
      </w:r>
    </w:p>
    <w:p>
      <w:pPr>
        <w:keepNext/>
        <w:keepLines/>
        <w:spacing w:before="60" w:after="60"/>
        <w:ind w:firstLine="0" w:firstLineChars="0"/>
        <w:outlineLvl w:val="2"/>
        <w:rPr>
          <w:rFonts w:hint="default" w:ascii="Times New Roman" w:hAnsi="Times New Roman" w:eastAsia="宋体" w:cs="Times New Roman"/>
          <w:b/>
          <w:color w:val="auto"/>
          <w:sz w:val="28"/>
          <w:highlight w:val="none"/>
        </w:rPr>
      </w:pPr>
      <w:bookmarkStart w:id="70" w:name="_Toc21145"/>
      <w:bookmarkStart w:id="71" w:name="_Toc321"/>
      <w:bookmarkStart w:id="72" w:name="_Toc14149"/>
      <w:bookmarkStart w:id="73" w:name="_Toc26110"/>
      <w:bookmarkStart w:id="74" w:name="_Toc25951"/>
      <w:r>
        <w:rPr>
          <w:rFonts w:hint="eastAsia" w:cs="Times New Roman"/>
          <w:b/>
          <w:color w:val="auto"/>
          <w:sz w:val="28"/>
          <w:highlight w:val="none"/>
          <w:lang w:val="en-US" w:eastAsia="zh-CN"/>
        </w:rPr>
        <w:t>6</w:t>
      </w:r>
      <w:r>
        <w:rPr>
          <w:rFonts w:hint="default" w:ascii="Times New Roman" w:hAnsi="Times New Roman" w:eastAsia="宋体" w:cs="Times New Roman"/>
          <w:b/>
          <w:color w:val="auto"/>
          <w:sz w:val="28"/>
          <w:highlight w:val="none"/>
        </w:rPr>
        <w:t xml:space="preserve"> 建议</w:t>
      </w:r>
      <w:bookmarkEnd w:id="42"/>
      <w:bookmarkEnd w:id="43"/>
      <w:bookmarkEnd w:id="4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pStyle w:val="2"/>
        <w:ind w:firstLine="480"/>
        <w:rPr>
          <w:rFonts w:hint="default" w:ascii="Times New Roman" w:hAnsi="Times New Roman" w:cs="Times New Roman"/>
          <w:color w:val="auto"/>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1</w:t>
      </w:r>
      <w:r>
        <w:rPr>
          <w:rFonts w:hint="default" w:ascii="Times New Roman" w:hAnsi="Times New Roman" w:cs="Times New Roman"/>
          <w:color w:val="auto"/>
          <w:lang w:eastAsia="zh-CN"/>
        </w:rPr>
        <w:t>）经调查可知地块内地下水质量较差，严禁作为</w:t>
      </w:r>
      <w:r>
        <w:rPr>
          <w:rFonts w:hint="default" w:ascii="Times New Roman" w:hAnsi="Times New Roman" w:cs="Times New Roman"/>
          <w:color w:val="auto"/>
          <w:lang w:val="en-US" w:eastAsia="zh-CN"/>
        </w:rPr>
        <w:t>生活饮用水水源开采使用</w:t>
      </w:r>
      <w:r>
        <w:rPr>
          <w:rFonts w:hint="default" w:ascii="Times New Roman" w:hAnsi="Times New Roman" w:cs="Times New Roman"/>
          <w:color w:val="auto"/>
          <w:lang w:eastAsia="zh-CN"/>
        </w:rPr>
        <w:t>。</w:t>
      </w:r>
    </w:p>
    <w:p>
      <w:pPr>
        <w:pStyle w:val="2"/>
        <w:ind w:firstLine="480"/>
        <w:rPr>
          <w:rFonts w:hint="default" w:ascii="Times New Roman" w:hAnsi="Times New Roman" w:cs="Times New Roman"/>
          <w:color w:val="auto"/>
          <w:lang w:eastAsia="zh-CN"/>
        </w:rPr>
      </w:pPr>
      <w:r>
        <w:rPr>
          <w:rFonts w:hint="default" w:ascii="Times New Roman" w:hAnsi="Times New Roman" w:cs="Times New Roman"/>
          <w:color w:val="auto"/>
        </w:rPr>
        <w:t>（</w:t>
      </w:r>
      <w:r>
        <w:rPr>
          <w:rFonts w:hint="default" w:ascii="Times New Roman" w:hAnsi="Times New Roman" w:cs="Times New Roman"/>
          <w:color w:val="auto"/>
          <w:lang w:val="en-US" w:eastAsia="zh-CN"/>
        </w:rPr>
        <w:t>2</w:t>
      </w:r>
      <w:r>
        <w:rPr>
          <w:rFonts w:hint="default" w:ascii="Times New Roman" w:hAnsi="Times New Roman" w:cs="Times New Roman"/>
          <w:color w:val="auto"/>
        </w:rPr>
        <w:t>）</w:t>
      </w:r>
      <w:r>
        <w:rPr>
          <w:rFonts w:hint="default" w:ascii="Times New Roman" w:hAnsi="Times New Roman" w:cs="Times New Roman"/>
          <w:color w:val="auto"/>
          <w:lang w:eastAsia="zh-CN"/>
        </w:rPr>
        <w:t>地块后续开发过程中若涉及到基坑降水，</w:t>
      </w:r>
      <w:r>
        <w:rPr>
          <w:rFonts w:hint="default" w:ascii="Times New Roman" w:hAnsi="Times New Roman" w:cs="Times New Roman"/>
          <w:color w:val="auto"/>
          <w:highlight w:val="none"/>
          <w:lang w:val="en-US" w:eastAsia="zh-CN"/>
        </w:rPr>
        <w:t>应对地块边界设置帷幕</w:t>
      </w:r>
      <w:r>
        <w:rPr>
          <w:rFonts w:hint="default" w:ascii="Times New Roman" w:hAnsi="Times New Roman" w:cs="Times New Roman"/>
          <w:color w:val="auto"/>
        </w:rPr>
        <w:t>，</w:t>
      </w:r>
      <w:r>
        <w:rPr>
          <w:rFonts w:hint="default" w:ascii="Times New Roman" w:hAnsi="Times New Roman" w:cs="Times New Roman"/>
          <w:color w:val="auto"/>
          <w:highlight w:val="none"/>
          <w:lang w:val="en-US" w:eastAsia="zh-CN"/>
        </w:rPr>
        <w:t>防止因基坑降水导致东侧超标地下水迁移至本地块内，造成本地块土壤或地下水污染，且</w:t>
      </w:r>
      <w:r>
        <w:rPr>
          <w:rFonts w:hint="default" w:ascii="Times New Roman" w:hAnsi="Times New Roman" w:cs="Times New Roman"/>
          <w:color w:val="auto"/>
          <w:highlight w:val="none"/>
        </w:rPr>
        <w:t>抽出地下水需达标排放。</w:t>
      </w:r>
    </w:p>
    <w:p>
      <w:pPr>
        <w:rPr>
          <w:rFonts w:hint="default"/>
        </w:rPr>
      </w:pPr>
      <w:r>
        <w:rPr>
          <w:rFonts w:hint="default" w:ascii="Times New Roman" w:hAnsi="Times New Roman" w:cs="Times New Roman"/>
          <w:color w:val="auto"/>
          <w:lang w:bidi="ar"/>
        </w:rPr>
        <w:t>（</w:t>
      </w:r>
      <w:r>
        <w:rPr>
          <w:rFonts w:hint="default" w:ascii="Times New Roman" w:hAnsi="Times New Roman" w:cs="Times New Roman"/>
          <w:color w:val="auto"/>
          <w:lang w:val="en-US" w:eastAsia="zh-CN" w:bidi="ar"/>
        </w:rPr>
        <w:t>3</w:t>
      </w:r>
      <w:r>
        <w:rPr>
          <w:rFonts w:hint="default" w:ascii="Times New Roman" w:hAnsi="Times New Roman" w:cs="Times New Roman"/>
          <w:color w:val="auto"/>
          <w:lang w:bidi="ar"/>
        </w:rPr>
        <w:t>）本次调查结果是基于地块现有条件和现有评价标准而做出的专业判断，未来该地块由于用地类型或评价标准等发生变化时，应对现有调查结论进行评估，必要时需重新开展土壤污染状况调查。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OGEyYmQzNTMzNTUzNmRiOTI5MDAyZjhmYzQ1ZGYifQ=="/>
  </w:docVars>
  <w:rsids>
    <w:rsidRoot w:val="701527B4"/>
    <w:rsid w:val="0D063338"/>
    <w:rsid w:val="24A07D86"/>
    <w:rsid w:val="3ACB3CA1"/>
    <w:rsid w:val="6B486B8E"/>
    <w:rsid w:val="6C8817AD"/>
    <w:rsid w:val="701527B4"/>
    <w:rsid w:val="7BFA1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520" w:lineRule="exact"/>
      <w:ind w:firstLine="883" w:firstLineChars="200"/>
      <w:jc w:val="both"/>
    </w:pPr>
    <w:rPr>
      <w:rFonts w:ascii="Times New Roman" w:hAnsi="Times New Roman" w:eastAsia="宋体" w:cs="Times New Roman"/>
      <w:sz w:val="24"/>
      <w:szCs w:val="24"/>
      <w:lang w:val="en-US" w:eastAsia="zh-CN" w:bidi="ar-SA"/>
    </w:rPr>
  </w:style>
  <w:style w:type="paragraph" w:styleId="4">
    <w:name w:val="heading 1"/>
    <w:basedOn w:val="1"/>
    <w:next w:val="1"/>
    <w:qFormat/>
    <w:uiPriority w:val="0"/>
    <w:pPr>
      <w:spacing w:before="180" w:after="180" w:line="520" w:lineRule="atLeast"/>
      <w:ind w:left="0" w:firstLine="0" w:firstLineChars="0"/>
      <w:outlineLvl w:val="0"/>
    </w:pPr>
    <w:rPr>
      <w:b/>
      <w:bCs/>
      <w:sz w:val="32"/>
      <w:szCs w:val="32"/>
    </w:rPr>
  </w:style>
  <w:style w:type="paragraph" w:styleId="5">
    <w:name w:val="heading 2"/>
    <w:basedOn w:val="4"/>
    <w:next w:val="6"/>
    <w:unhideWhenUsed/>
    <w:qFormat/>
    <w:uiPriority w:val="0"/>
    <w:pPr>
      <w:keepNext/>
      <w:keepLines/>
      <w:spacing w:before="120" w:after="120" w:line="480" w:lineRule="exact"/>
      <w:ind w:firstLine="0" w:firstLineChars="0"/>
      <w:jc w:val="left"/>
      <w:outlineLvl w:val="1"/>
    </w:pPr>
    <w:rPr>
      <w:sz w:val="30"/>
    </w:rPr>
  </w:style>
  <w:style w:type="paragraph" w:styleId="6">
    <w:name w:val="heading 3"/>
    <w:basedOn w:val="5"/>
    <w:next w:val="7"/>
    <w:unhideWhenUsed/>
    <w:qFormat/>
    <w:uiPriority w:val="0"/>
    <w:pPr>
      <w:keepNext/>
      <w:keepLines/>
      <w:spacing w:before="60" w:after="60" w:line="520" w:lineRule="exact"/>
      <w:ind w:firstLine="0" w:firstLineChars="0"/>
      <w:jc w:val="left"/>
      <w:outlineLvl w:val="2"/>
    </w:pPr>
    <w:rPr>
      <w:rFonts w:ascii="Times New Roman" w:hAnsi="Times New Roman" w:eastAsia="宋体"/>
      <w:sz w:val="28"/>
    </w:rPr>
  </w:style>
  <w:style w:type="paragraph" w:styleId="7">
    <w:name w:val="heading 4"/>
    <w:basedOn w:val="1"/>
    <w:next w:val="1"/>
    <w:unhideWhenUsed/>
    <w:qFormat/>
    <w:uiPriority w:val="0"/>
    <w:pPr>
      <w:keepNext/>
      <w:keepLines/>
      <w:adjustRightInd w:val="0"/>
      <w:snapToGrid w:val="0"/>
      <w:ind w:firstLine="0" w:firstLineChars="0"/>
      <w:jc w:val="left"/>
      <w:outlineLvl w:val="3"/>
    </w:pPr>
    <w:rPr>
      <w:rFonts w:ascii="Times New Roman" w:hAnsi="Times New Roman" w:eastAsia="宋体" w:cs="Times New Roman"/>
      <w:bCs/>
      <w:szCs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3">
    <w:name w:val="Body Text"/>
    <w:basedOn w:val="1"/>
    <w:next w:val="1"/>
    <w:qFormat/>
    <w:uiPriority w:val="0"/>
    <w:pPr>
      <w:snapToGrid w:val="0"/>
      <w:jc w:val="center"/>
    </w:pPr>
    <w:rPr>
      <w:rFonts w:ascii="Arial" w:hAnsi="Arial"/>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0"/>
    <w:pPr>
      <w:ind w:left="420" w:leftChars="200"/>
    </w:pPr>
  </w:style>
  <w:style w:type="paragraph" w:styleId="11">
    <w:name w:val="Normal (Web)"/>
    <w:basedOn w:val="1"/>
    <w:qFormat/>
    <w:uiPriority w:val="99"/>
    <w:pPr>
      <w:widowControl/>
      <w:spacing w:before="100" w:beforeAutospacing="1" w:after="100" w:afterAutospacing="1"/>
      <w:jc w:val="left"/>
    </w:pPr>
    <w:rPr>
      <w:rFonts w:ascii="宋体" w:hAnsi="宋体" w:cs="宋体"/>
      <w:kern w:val="0"/>
    </w:r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2936</Words>
  <Characters>3138</Characters>
  <Lines>0</Lines>
  <Paragraphs>0</Paragraphs>
  <TotalTime>1</TotalTime>
  <ScaleCrop>false</ScaleCrop>
  <LinksUpToDate>false</LinksUpToDate>
  <CharactersWithSpaces>3156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2020-06-16T07:28:00Z</dcterms:created>
  <dc:creator>Administrator</dc:creator>
  <cp:lastModifiedBy>蓝澜</cp:lastModifiedBy>
  <dcterms:modified xsi:type="dcterms:W3CDTF">2022-12-14T06:46:58Z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B17265DE7CE24BF2B681CC3EF9D1D742</vt:lpwstr>
  </property>
</Properties>
</file>