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keepNext w:val="0"/>
        <w:keepLines w:val="0"/>
        <w:pageBreakBefore w:val="0"/>
        <w:widowControl w:val="0"/>
        <w:kinsoku/>
        <w:wordWrap/>
        <w:overflowPunct/>
        <w:topLinePunct/>
        <w:autoSpaceDE/>
        <w:autoSpaceDN/>
        <w:bidi w:val="0"/>
        <w:adjustRightInd/>
        <w:snapToGrid w:val="0"/>
        <w:spacing w:line="1000" w:lineRule="exact"/>
        <w:ind w:left="0" w:leftChars="0" w:right="0" w:rightChars="0" w:firstLine="0" w:firstLineChars="0"/>
        <w:jc w:val="center"/>
        <w:textAlignment w:val="auto"/>
        <w:outlineLvl w:val="9"/>
        <w:rPr>
          <w:rFonts w:hint="default" w:ascii="Times New Roman" w:hAnsi="Times New Roman" w:eastAsia="宋体" w:cs="Times New Roman"/>
          <w:b/>
          <w:bCs/>
          <w:color w:val="000000" w:themeColor="text1"/>
          <w:spacing w:val="20"/>
          <w:kern w:val="2"/>
          <w:sz w:val="72"/>
          <w:szCs w:val="72"/>
          <w:highlight w:val="none"/>
          <w:lang w:val="en-US" w:eastAsia="zh-CN" w:bidi="ar-SA"/>
          <w14:textFill>
            <w14:solidFill>
              <w14:schemeClr w14:val="tx1"/>
            </w14:solidFill>
          </w14:textFill>
        </w:rPr>
      </w:pPr>
      <w:r>
        <w:rPr>
          <w:rFonts w:hint="default" w:ascii="Times New Roman" w:hAnsi="Times New Roman" w:eastAsia="宋体" w:cs="Times New Roman"/>
          <w:b/>
          <w:bCs/>
          <w:color w:val="000000" w:themeColor="text1"/>
          <w:spacing w:val="20"/>
          <w:kern w:val="2"/>
          <w:sz w:val="44"/>
          <w:szCs w:val="44"/>
          <w:highlight w:val="none"/>
          <w:lang w:val="en-US" w:eastAsia="zh-CN" w:bidi="ar-SA"/>
          <w14:textFill>
            <w14:solidFill>
              <w14:schemeClr w14:val="tx1"/>
            </w14:solidFill>
          </w14:textFill>
        </w:rPr>
        <w:t>赵县刘家庄村土地收储</w:t>
      </w:r>
      <w:r>
        <w:rPr>
          <w:rFonts w:hint="eastAsia" w:ascii="Times New Roman" w:hAnsi="Times New Roman" w:cs="Times New Roman"/>
          <w:b/>
          <w:bCs/>
          <w:color w:val="000000" w:themeColor="text1"/>
          <w:spacing w:val="20"/>
          <w:kern w:val="2"/>
          <w:sz w:val="44"/>
          <w:szCs w:val="44"/>
          <w:highlight w:val="none"/>
          <w:lang w:val="en-US" w:eastAsia="zh-CN" w:bidi="ar-SA"/>
          <w14:textFill>
            <w14:solidFill>
              <w14:schemeClr w14:val="tx1"/>
            </w14:solidFill>
          </w14:textFill>
        </w:rPr>
        <w:t>项目B区</w:t>
      </w:r>
    </w:p>
    <w:p>
      <w:pPr>
        <w:pStyle w:val="10"/>
        <w:keepNext w:val="0"/>
        <w:keepLines w:val="0"/>
        <w:pageBreakBefore w:val="0"/>
        <w:widowControl w:val="0"/>
        <w:kinsoku/>
        <w:wordWrap/>
        <w:overflowPunct/>
        <w:topLinePunct/>
        <w:autoSpaceDE/>
        <w:autoSpaceDN/>
        <w:bidi w:val="0"/>
        <w:adjustRightInd/>
        <w:snapToGrid w:val="0"/>
        <w:spacing w:line="1000" w:lineRule="exact"/>
        <w:ind w:left="0" w:leftChars="0" w:right="0" w:rightChars="0" w:firstLine="0" w:firstLineChars="0"/>
        <w:jc w:val="center"/>
        <w:textAlignment w:val="auto"/>
        <w:outlineLvl w:val="9"/>
        <w:rPr>
          <w:rFonts w:hint="default" w:ascii="Times New Roman" w:hAnsi="Times New Roman" w:eastAsia="宋体" w:cs="Times New Roman"/>
          <w:b/>
          <w:bCs/>
          <w:color w:val="000000" w:themeColor="text1"/>
          <w:spacing w:val="20"/>
          <w:sz w:val="52"/>
          <w:szCs w:val="52"/>
          <w:highlight w:val="none"/>
          <w:lang w:eastAsia="zh-CN"/>
          <w14:textFill>
            <w14:solidFill>
              <w14:schemeClr w14:val="tx1"/>
            </w14:solidFill>
          </w14:textFill>
        </w:rPr>
      </w:pPr>
      <w:r>
        <w:rPr>
          <w:rFonts w:hint="default" w:ascii="Times New Roman" w:hAnsi="Times New Roman" w:eastAsia="宋体" w:cs="Times New Roman"/>
          <w:b/>
          <w:bCs/>
          <w:color w:val="000000" w:themeColor="text1"/>
          <w:spacing w:val="20"/>
          <w:kern w:val="2"/>
          <w:sz w:val="52"/>
          <w:szCs w:val="52"/>
          <w:highlight w:val="none"/>
          <w:lang w:val="en-US" w:eastAsia="zh-CN" w:bidi="ar-SA"/>
          <w14:textFill>
            <w14:solidFill>
              <w14:schemeClr w14:val="tx1"/>
            </w14:solidFill>
          </w14:textFill>
        </w:rPr>
        <w:t>土壤污染状况调查</w:t>
      </w:r>
      <w:r>
        <w:rPr>
          <w:rFonts w:hint="default" w:ascii="Times New Roman" w:hAnsi="Times New Roman" w:eastAsia="宋体" w:cs="Times New Roman"/>
          <w:b/>
          <w:bCs/>
          <w:color w:val="000000" w:themeColor="text1"/>
          <w:spacing w:val="20"/>
          <w:sz w:val="52"/>
          <w:szCs w:val="52"/>
          <w:highlight w:val="none"/>
          <w:lang w:eastAsia="zh-CN"/>
          <w14:textFill>
            <w14:solidFill>
              <w14:schemeClr w14:val="tx1"/>
            </w14:solidFill>
          </w14:textFill>
        </w:rPr>
        <w:t>报告</w:t>
      </w:r>
    </w:p>
    <w:p>
      <w:pPr>
        <w:pStyle w:val="10"/>
        <w:keepNext w:val="0"/>
        <w:keepLines w:val="0"/>
        <w:pageBreakBefore w:val="0"/>
        <w:widowControl w:val="0"/>
        <w:kinsoku/>
        <w:wordWrap/>
        <w:overflowPunct/>
        <w:topLinePunct/>
        <w:autoSpaceDE/>
        <w:autoSpaceDN/>
        <w:bidi w:val="0"/>
        <w:adjustRightInd/>
        <w:snapToGrid w:val="0"/>
        <w:spacing w:line="1000" w:lineRule="exact"/>
        <w:ind w:left="0" w:leftChars="0" w:right="0" w:rightChars="0" w:firstLine="0" w:firstLineChars="0"/>
        <w:jc w:val="center"/>
        <w:textAlignment w:val="auto"/>
        <w:outlineLvl w:val="9"/>
        <w:rPr>
          <w:rFonts w:hint="eastAsia" w:ascii="Times New Roman" w:hAnsi="Times New Roman" w:eastAsia="宋体" w:cs="Times New Roman"/>
          <w:b/>
          <w:bCs/>
          <w:color w:val="000000" w:themeColor="text1"/>
          <w:spacing w:val="20"/>
          <w:sz w:val="30"/>
          <w:szCs w:val="30"/>
          <w:highlight w:val="none"/>
          <w:lang w:eastAsia="zh-CN"/>
          <w14:textFill>
            <w14:solidFill>
              <w14:schemeClr w14:val="tx1"/>
            </w14:solidFill>
          </w14:textFill>
        </w:rPr>
      </w:pPr>
      <w:r>
        <w:rPr>
          <w:rFonts w:hint="eastAsia" w:ascii="Times New Roman" w:hAnsi="Times New Roman" w:eastAsia="宋体" w:cs="Times New Roman"/>
          <w:b/>
          <w:bCs/>
          <w:color w:val="000000" w:themeColor="text1"/>
          <w:spacing w:val="20"/>
          <w:sz w:val="30"/>
          <w:szCs w:val="30"/>
          <w:highlight w:val="none"/>
          <w:lang w:eastAsia="zh-CN"/>
          <w14:textFill>
            <w14:solidFill>
              <w14:schemeClr w14:val="tx1"/>
            </w14:solidFill>
          </w14:textFill>
        </w:rPr>
        <w:t>（公示本）</w:t>
      </w:r>
    </w:p>
    <w:p>
      <w:pPr>
        <w:pStyle w:val="10"/>
        <w:keepNext w:val="0"/>
        <w:keepLines w:val="0"/>
        <w:pageBreakBefore w:val="0"/>
        <w:widowControl w:val="0"/>
        <w:kinsoku/>
        <w:wordWrap/>
        <w:overflowPunct/>
        <w:topLinePunct/>
        <w:autoSpaceDE/>
        <w:autoSpaceDN/>
        <w:bidi w:val="0"/>
        <w:adjustRightInd/>
        <w:snapToGrid w:val="0"/>
        <w:spacing w:line="1000" w:lineRule="exact"/>
        <w:ind w:left="0" w:leftChars="0" w:right="0" w:rightChars="0" w:firstLine="0" w:firstLineChars="0"/>
        <w:jc w:val="center"/>
        <w:textAlignment w:val="auto"/>
        <w:outlineLvl w:val="9"/>
        <w:rPr>
          <w:rFonts w:hint="eastAsia" w:ascii="Times New Roman" w:hAnsi="Times New Roman" w:eastAsia="宋体" w:cs="Times New Roman"/>
          <w:b/>
          <w:bCs/>
          <w:color w:val="000000" w:themeColor="text1"/>
          <w:spacing w:val="20"/>
          <w:sz w:val="30"/>
          <w:szCs w:val="30"/>
          <w:highlight w:val="none"/>
          <w:lang w:eastAsia="zh-CN"/>
          <w14:textFill>
            <w14:solidFill>
              <w14:schemeClr w14:val="tx1"/>
            </w14:solidFill>
          </w14:textFill>
        </w:rPr>
      </w:pPr>
    </w:p>
    <w:p>
      <w:pPr>
        <w:pStyle w:val="10"/>
        <w:keepNext w:val="0"/>
        <w:keepLines w:val="0"/>
        <w:pageBreakBefore w:val="0"/>
        <w:widowControl w:val="0"/>
        <w:kinsoku/>
        <w:wordWrap/>
        <w:overflowPunct/>
        <w:topLinePunct/>
        <w:autoSpaceDE/>
        <w:autoSpaceDN/>
        <w:bidi w:val="0"/>
        <w:adjustRightInd/>
        <w:snapToGrid w:val="0"/>
        <w:spacing w:line="1000" w:lineRule="exact"/>
        <w:ind w:left="0" w:leftChars="0" w:right="0" w:rightChars="0" w:firstLine="0" w:firstLineChars="0"/>
        <w:jc w:val="center"/>
        <w:textAlignment w:val="auto"/>
        <w:outlineLvl w:val="9"/>
        <w:rPr>
          <w:rFonts w:hint="eastAsia" w:ascii="Times New Roman" w:hAnsi="Times New Roman" w:eastAsia="宋体" w:cs="Times New Roman"/>
          <w:b/>
          <w:bCs/>
          <w:color w:val="000000" w:themeColor="text1"/>
          <w:spacing w:val="20"/>
          <w:sz w:val="30"/>
          <w:szCs w:val="30"/>
          <w:highlight w:val="none"/>
          <w:lang w:eastAsia="zh-CN"/>
          <w14:textFill>
            <w14:solidFill>
              <w14:schemeClr w14:val="tx1"/>
            </w14:solidFill>
          </w14:textFill>
        </w:rPr>
      </w:pPr>
      <w:bookmarkStart w:id="0" w:name="_GoBack"/>
      <w:bookmarkEnd w:id="0"/>
    </w:p>
    <w:p>
      <w:pPr>
        <w:pStyle w:val="10"/>
        <w:keepNext w:val="0"/>
        <w:keepLines w:val="0"/>
        <w:pageBreakBefore w:val="0"/>
        <w:widowControl w:val="0"/>
        <w:kinsoku/>
        <w:wordWrap/>
        <w:overflowPunct/>
        <w:topLinePunct/>
        <w:autoSpaceDE/>
        <w:autoSpaceDN/>
        <w:bidi w:val="0"/>
        <w:adjustRightInd/>
        <w:snapToGrid w:val="0"/>
        <w:spacing w:line="1000" w:lineRule="exact"/>
        <w:ind w:left="0" w:leftChars="0" w:right="0" w:rightChars="0" w:firstLine="0" w:firstLineChars="0"/>
        <w:jc w:val="center"/>
        <w:textAlignment w:val="auto"/>
        <w:outlineLvl w:val="9"/>
        <w:rPr>
          <w:rFonts w:hint="eastAsia" w:ascii="Times New Roman" w:hAnsi="Times New Roman" w:eastAsia="宋体" w:cs="Times New Roman"/>
          <w:b/>
          <w:bCs/>
          <w:color w:val="000000" w:themeColor="text1"/>
          <w:spacing w:val="20"/>
          <w:sz w:val="30"/>
          <w:szCs w:val="30"/>
          <w:highlight w:val="none"/>
          <w:lang w:eastAsia="zh-CN"/>
          <w14:textFill>
            <w14:solidFill>
              <w14:schemeClr w14:val="tx1"/>
            </w14:solidFill>
          </w14:textFill>
        </w:rPr>
      </w:pPr>
    </w:p>
    <w:p>
      <w:pPr>
        <w:pStyle w:val="10"/>
        <w:keepNext w:val="0"/>
        <w:keepLines w:val="0"/>
        <w:pageBreakBefore w:val="0"/>
        <w:widowControl w:val="0"/>
        <w:kinsoku/>
        <w:wordWrap/>
        <w:overflowPunct/>
        <w:topLinePunct/>
        <w:autoSpaceDE/>
        <w:autoSpaceDN/>
        <w:bidi w:val="0"/>
        <w:adjustRightInd/>
        <w:snapToGrid w:val="0"/>
        <w:spacing w:line="1000" w:lineRule="exact"/>
        <w:ind w:left="0" w:leftChars="0" w:right="0" w:rightChars="0" w:firstLine="0" w:firstLineChars="0"/>
        <w:jc w:val="center"/>
        <w:textAlignment w:val="auto"/>
        <w:outlineLvl w:val="9"/>
        <w:rPr>
          <w:rFonts w:hint="eastAsia" w:ascii="Times New Roman" w:hAnsi="Times New Roman" w:eastAsia="宋体" w:cs="Times New Roman"/>
          <w:b/>
          <w:bCs/>
          <w:color w:val="000000" w:themeColor="text1"/>
          <w:spacing w:val="20"/>
          <w:sz w:val="30"/>
          <w:szCs w:val="30"/>
          <w:highlight w:val="none"/>
          <w:lang w:eastAsia="zh-CN"/>
          <w14:textFill>
            <w14:solidFill>
              <w14:schemeClr w14:val="tx1"/>
            </w14:solidFill>
          </w14:textFill>
        </w:rPr>
      </w:pPr>
    </w:p>
    <w:p>
      <w:pPr>
        <w:pStyle w:val="10"/>
        <w:keepNext w:val="0"/>
        <w:keepLines w:val="0"/>
        <w:pageBreakBefore w:val="0"/>
        <w:widowControl w:val="0"/>
        <w:kinsoku/>
        <w:wordWrap/>
        <w:overflowPunct/>
        <w:topLinePunct/>
        <w:autoSpaceDE/>
        <w:autoSpaceDN/>
        <w:bidi w:val="0"/>
        <w:adjustRightInd/>
        <w:snapToGrid w:val="0"/>
        <w:spacing w:line="1000" w:lineRule="exact"/>
        <w:ind w:left="0" w:leftChars="0" w:right="0" w:rightChars="0" w:firstLine="0" w:firstLineChars="0"/>
        <w:jc w:val="center"/>
        <w:textAlignment w:val="auto"/>
        <w:outlineLvl w:val="9"/>
        <w:rPr>
          <w:rFonts w:hint="eastAsia" w:ascii="Times New Roman" w:hAnsi="Times New Roman" w:eastAsia="宋体" w:cs="Times New Roman"/>
          <w:b/>
          <w:bCs/>
          <w:color w:val="000000" w:themeColor="text1"/>
          <w:spacing w:val="20"/>
          <w:sz w:val="30"/>
          <w:szCs w:val="30"/>
          <w:highlight w:val="none"/>
          <w:lang w:eastAsia="zh-CN"/>
          <w14:textFill>
            <w14:solidFill>
              <w14:schemeClr w14:val="tx1"/>
            </w14:solidFill>
          </w14:textFill>
        </w:rPr>
      </w:pPr>
    </w:p>
    <w:p>
      <w:pPr>
        <w:pStyle w:val="10"/>
        <w:keepNext w:val="0"/>
        <w:keepLines w:val="0"/>
        <w:pageBreakBefore w:val="0"/>
        <w:widowControl w:val="0"/>
        <w:kinsoku/>
        <w:wordWrap/>
        <w:overflowPunct/>
        <w:topLinePunct/>
        <w:autoSpaceDE/>
        <w:autoSpaceDN/>
        <w:bidi w:val="0"/>
        <w:adjustRightInd/>
        <w:snapToGrid w:val="0"/>
        <w:spacing w:line="1000" w:lineRule="exact"/>
        <w:ind w:left="0" w:leftChars="0" w:right="0" w:rightChars="0" w:firstLine="0" w:firstLineChars="0"/>
        <w:jc w:val="center"/>
        <w:textAlignment w:val="auto"/>
        <w:outlineLvl w:val="9"/>
        <w:rPr>
          <w:rFonts w:hint="eastAsia" w:ascii="Times New Roman" w:hAnsi="Times New Roman" w:eastAsia="宋体" w:cs="Times New Roman"/>
          <w:b/>
          <w:bCs/>
          <w:color w:val="000000" w:themeColor="text1"/>
          <w:spacing w:val="20"/>
          <w:sz w:val="30"/>
          <w:szCs w:val="30"/>
          <w:highlight w:val="none"/>
          <w:lang w:eastAsia="zh-CN"/>
          <w14:textFill>
            <w14:solidFill>
              <w14:schemeClr w14:val="tx1"/>
            </w14:solidFill>
          </w14:textFill>
        </w:rPr>
      </w:pPr>
    </w:p>
    <w:p>
      <w:pPr>
        <w:pStyle w:val="10"/>
        <w:keepNext w:val="0"/>
        <w:keepLines w:val="0"/>
        <w:pageBreakBefore w:val="0"/>
        <w:widowControl w:val="0"/>
        <w:kinsoku/>
        <w:wordWrap/>
        <w:overflowPunct/>
        <w:topLinePunct/>
        <w:autoSpaceDE/>
        <w:autoSpaceDN/>
        <w:bidi w:val="0"/>
        <w:adjustRightInd/>
        <w:snapToGrid w:val="0"/>
        <w:spacing w:line="1000" w:lineRule="exact"/>
        <w:ind w:left="0" w:leftChars="0" w:right="0" w:rightChars="0" w:firstLine="0" w:firstLineChars="0"/>
        <w:jc w:val="center"/>
        <w:textAlignment w:val="auto"/>
        <w:outlineLvl w:val="9"/>
        <w:rPr>
          <w:rFonts w:hint="default" w:ascii="Times New Roman" w:hAnsi="Times New Roman" w:eastAsia="宋体" w:cs="Times New Roman"/>
          <w:b/>
          <w:bCs/>
          <w:color w:val="000000" w:themeColor="text1"/>
          <w:spacing w:val="20"/>
          <w:sz w:val="30"/>
          <w:szCs w:val="30"/>
          <w:highlight w:val="none"/>
          <w:lang w:eastAsia="zh-CN"/>
          <w14:textFill>
            <w14:solidFill>
              <w14:schemeClr w14:val="tx1"/>
            </w14:solidFill>
          </w14:textFill>
        </w:rPr>
      </w:pPr>
    </w:p>
    <w:p>
      <w:pPr>
        <w:pStyle w:val="13"/>
        <w:widowControl w:val="0"/>
        <w:topLinePunct/>
        <w:snapToGrid w:val="0"/>
        <w:spacing w:before="0" w:beforeAutospacing="0" w:after="0" w:afterAutospacing="0" w:line="360" w:lineRule="auto"/>
        <w:ind w:firstLine="1108" w:firstLineChars="345"/>
        <w:jc w:val="left"/>
        <w:rPr>
          <w:rFonts w:hint="default" w:ascii="Times New Roman" w:hAnsi="Times New Roman" w:eastAsia="宋体" w:cs="Times New Roman"/>
          <w:b w:val="0"/>
          <w:bCs/>
          <w:color w:val="000000" w:themeColor="text1"/>
          <w:kern w:val="2"/>
          <w:sz w:val="32"/>
          <w:szCs w:val="32"/>
          <w:highlight w:val="none"/>
          <w:lang w:eastAsia="zh-CN"/>
          <w14:textFill>
            <w14:solidFill>
              <w14:schemeClr w14:val="tx1"/>
            </w14:solidFill>
          </w14:textFill>
        </w:rPr>
      </w:pPr>
      <w:r>
        <w:rPr>
          <w:rFonts w:hint="default" w:ascii="Times New Roman" w:hAnsi="Times New Roman" w:eastAsia="宋体" w:cs="Times New Roman"/>
          <w:b/>
          <w:color w:val="000000" w:themeColor="text1"/>
          <w:kern w:val="2"/>
          <w:sz w:val="32"/>
          <w:szCs w:val="32"/>
          <w:highlight w:val="none"/>
          <w14:textFill>
            <w14:solidFill>
              <w14:schemeClr w14:val="tx1"/>
            </w14:solidFill>
          </w14:textFill>
        </w:rPr>
        <w:t>委托单位：</w:t>
      </w:r>
      <w:r>
        <w:rPr>
          <w:rFonts w:hint="eastAsia" w:ascii="Times New Roman" w:hAnsi="Times New Roman" w:cs="Times New Roman"/>
          <w:b w:val="0"/>
          <w:bCs/>
          <w:color w:val="000000" w:themeColor="text1"/>
          <w:kern w:val="2"/>
          <w:sz w:val="32"/>
          <w:szCs w:val="32"/>
          <w:highlight w:val="none"/>
          <w:lang w:val="en-US" w:eastAsia="zh-CN"/>
          <w14:textFill>
            <w14:solidFill>
              <w14:schemeClr w14:val="tx1"/>
            </w14:solidFill>
          </w14:textFill>
        </w:rPr>
        <w:t>赵县赵州镇人民政府</w:t>
      </w:r>
    </w:p>
    <w:p>
      <w:pPr>
        <w:pStyle w:val="13"/>
        <w:widowControl w:val="0"/>
        <w:topLinePunct/>
        <w:snapToGrid w:val="0"/>
        <w:spacing w:before="0" w:beforeAutospacing="0" w:after="0" w:afterAutospacing="0" w:line="360" w:lineRule="auto"/>
        <w:ind w:firstLine="1108" w:firstLineChars="345"/>
        <w:jc w:val="left"/>
        <w:rPr>
          <w:rFonts w:hint="default" w:ascii="Times New Roman" w:hAnsi="Times New Roman" w:eastAsia="宋体" w:cs="Times New Roman"/>
          <w:b/>
          <w:bCs w:val="0"/>
          <w:color w:val="000000" w:themeColor="text1"/>
          <w:kern w:val="2"/>
          <w:sz w:val="32"/>
          <w:szCs w:val="32"/>
          <w:highlight w:val="none"/>
          <w:u w:val="none"/>
          <w:lang w:eastAsia="zh-CN"/>
          <w14:textFill>
            <w14:solidFill>
              <w14:schemeClr w14:val="tx1"/>
            </w14:solidFill>
          </w14:textFill>
        </w:rPr>
      </w:pPr>
      <w:r>
        <w:rPr>
          <w:rFonts w:hint="default" w:ascii="Times New Roman" w:hAnsi="Times New Roman" w:eastAsia="宋体" w:cs="Times New Roman"/>
          <w:b/>
          <w:color w:val="000000" w:themeColor="text1"/>
          <w:kern w:val="2"/>
          <w:sz w:val="32"/>
          <w:szCs w:val="32"/>
          <w:highlight w:val="none"/>
          <w14:textFill>
            <w14:solidFill>
              <w14:schemeClr w14:val="tx1"/>
            </w14:solidFill>
          </w14:textFill>
        </w:rPr>
        <w:t>编制单位：</w:t>
      </w:r>
      <w:r>
        <w:rPr>
          <w:rFonts w:hint="eastAsia" w:ascii="Times New Roman" w:hAnsi="Times New Roman" w:cs="Times New Roman"/>
          <w:b w:val="0"/>
          <w:bCs/>
          <w:color w:val="000000" w:themeColor="text1"/>
          <w:kern w:val="2"/>
          <w:sz w:val="32"/>
          <w:szCs w:val="32"/>
          <w:highlight w:val="none"/>
          <w:u w:val="none"/>
          <w:lang w:eastAsia="zh-CN"/>
          <w14:textFill>
            <w14:solidFill>
              <w14:schemeClr w14:val="tx1"/>
            </w14:solidFill>
          </w14:textFill>
        </w:rPr>
        <w:t>河北靓源环保工程</w:t>
      </w:r>
      <w:r>
        <w:rPr>
          <w:rFonts w:hint="default" w:ascii="Times New Roman" w:hAnsi="Times New Roman" w:eastAsia="宋体" w:cs="Times New Roman"/>
          <w:b w:val="0"/>
          <w:bCs/>
          <w:color w:val="000000" w:themeColor="text1"/>
          <w:kern w:val="2"/>
          <w:sz w:val="32"/>
          <w:szCs w:val="32"/>
          <w:highlight w:val="none"/>
          <w:lang w:eastAsia="zh-CN"/>
          <w14:textFill>
            <w14:solidFill>
              <w14:schemeClr w14:val="tx1"/>
            </w14:solidFill>
          </w14:textFill>
        </w:rPr>
        <w:t>有限公司</w:t>
      </w:r>
    </w:p>
    <w:p>
      <w:pPr>
        <w:pStyle w:val="13"/>
        <w:widowControl w:val="0"/>
        <w:topLinePunct/>
        <w:snapToGrid w:val="0"/>
        <w:spacing w:before="0" w:beforeAutospacing="0" w:after="0" w:afterAutospacing="0" w:line="360" w:lineRule="auto"/>
        <w:ind w:firstLine="1108" w:firstLineChars="345"/>
        <w:jc w:val="left"/>
        <w:rPr>
          <w:rFonts w:hint="eastAsia" w:ascii="Times New Roman" w:hAnsi="Times New Roman" w:eastAsia="宋体" w:cs="Times New Roman"/>
          <w:b w:val="0"/>
          <w:bCs/>
          <w:color w:val="000000" w:themeColor="text1"/>
          <w:kern w:val="2"/>
          <w:sz w:val="32"/>
          <w:szCs w:val="32"/>
          <w:highlight w:val="none"/>
          <w:lang w:val="en-US" w:eastAsia="zh-CN"/>
          <w14:textFill>
            <w14:solidFill>
              <w14:schemeClr w14:val="tx1"/>
            </w14:solidFill>
          </w14:textFill>
        </w:rPr>
      </w:pPr>
      <w:r>
        <w:rPr>
          <w:rFonts w:hint="default" w:ascii="Times New Roman" w:hAnsi="Times New Roman" w:eastAsia="宋体" w:cs="Times New Roman"/>
          <w:b/>
          <w:color w:val="000000" w:themeColor="text1"/>
          <w:kern w:val="2"/>
          <w:sz w:val="32"/>
          <w:szCs w:val="32"/>
          <w:highlight w:val="none"/>
          <w14:textFill>
            <w14:solidFill>
              <w14:schemeClr w14:val="tx1"/>
            </w14:solidFill>
          </w14:textFill>
        </w:rPr>
        <w:t>编制日期：</w:t>
      </w:r>
      <w:r>
        <w:rPr>
          <w:rFonts w:hint="default" w:ascii="Times New Roman" w:hAnsi="Times New Roman" w:eastAsia="宋体" w:cs="Times New Roman"/>
          <w:b w:val="0"/>
          <w:bCs/>
          <w:color w:val="000000" w:themeColor="text1"/>
          <w:kern w:val="2"/>
          <w:sz w:val="32"/>
          <w:szCs w:val="32"/>
          <w:highlight w:val="none"/>
          <w14:textFill>
            <w14:solidFill>
              <w14:schemeClr w14:val="tx1"/>
            </w14:solidFill>
          </w14:textFill>
        </w:rPr>
        <w:t>二</w:t>
      </w:r>
      <w:r>
        <w:rPr>
          <w:rFonts w:hint="default" w:ascii="Times New Roman" w:hAnsi="Times New Roman" w:eastAsia="宋体" w:cs="Times New Roman"/>
          <w:b w:val="0"/>
          <w:bCs/>
          <w:color w:val="000000" w:themeColor="text1"/>
          <w:kern w:val="2"/>
          <w:sz w:val="32"/>
          <w:szCs w:val="32"/>
          <w:highlight w:val="none"/>
          <w:lang w:val="en-US" w:eastAsia="zh-CN"/>
          <w14:textFill>
            <w14:solidFill>
              <w14:schemeClr w14:val="tx1"/>
            </w14:solidFill>
          </w14:textFill>
        </w:rPr>
        <w:t xml:space="preserve"> </w:t>
      </w:r>
      <w:r>
        <w:rPr>
          <w:rFonts w:hint="default" w:ascii="Times New Roman" w:hAnsi="Times New Roman" w:eastAsia="宋体" w:cs="Times New Roman"/>
          <w:b w:val="0"/>
          <w:bCs/>
          <w:color w:val="000000" w:themeColor="text1"/>
          <w:kern w:val="2"/>
          <w:sz w:val="32"/>
          <w:szCs w:val="32"/>
          <w:highlight w:val="none"/>
          <w14:textFill>
            <w14:solidFill>
              <w14:schemeClr w14:val="tx1"/>
            </w14:solidFill>
          </w14:textFill>
        </w:rPr>
        <w:t>〇</w:t>
      </w:r>
      <w:r>
        <w:rPr>
          <w:rFonts w:hint="default" w:ascii="Times New Roman" w:hAnsi="Times New Roman" w:eastAsia="宋体" w:cs="Times New Roman"/>
          <w:b w:val="0"/>
          <w:bCs/>
          <w:color w:val="000000" w:themeColor="text1"/>
          <w:kern w:val="2"/>
          <w:sz w:val="32"/>
          <w:szCs w:val="32"/>
          <w:highlight w:val="none"/>
          <w:lang w:val="en-US" w:eastAsia="zh-CN"/>
          <w14:textFill>
            <w14:solidFill>
              <w14:schemeClr w14:val="tx1"/>
            </w14:solidFill>
          </w14:textFill>
        </w:rPr>
        <w:t xml:space="preserve"> </w:t>
      </w:r>
      <w:r>
        <w:rPr>
          <w:rFonts w:hint="default" w:ascii="Times New Roman" w:hAnsi="Times New Roman" w:eastAsia="宋体" w:cs="Times New Roman"/>
          <w:b w:val="0"/>
          <w:bCs/>
          <w:color w:val="000000" w:themeColor="text1"/>
          <w:kern w:val="2"/>
          <w:sz w:val="32"/>
          <w:szCs w:val="32"/>
          <w:highlight w:val="none"/>
          <w:lang w:eastAsia="zh-CN"/>
          <w14:textFill>
            <w14:solidFill>
              <w14:schemeClr w14:val="tx1"/>
            </w14:solidFill>
          </w14:textFill>
        </w:rPr>
        <w:t>二</w:t>
      </w:r>
      <w:r>
        <w:rPr>
          <w:rFonts w:hint="default" w:ascii="Times New Roman" w:hAnsi="Times New Roman" w:eastAsia="宋体" w:cs="Times New Roman"/>
          <w:b w:val="0"/>
          <w:bCs/>
          <w:color w:val="000000" w:themeColor="text1"/>
          <w:kern w:val="2"/>
          <w:sz w:val="32"/>
          <w:szCs w:val="32"/>
          <w:highlight w:val="none"/>
          <w:lang w:val="en-US" w:eastAsia="zh-CN"/>
          <w14:textFill>
            <w14:solidFill>
              <w14:schemeClr w14:val="tx1"/>
            </w14:solidFill>
          </w14:textFill>
        </w:rPr>
        <w:t xml:space="preserve"> </w:t>
      </w:r>
      <w:r>
        <w:rPr>
          <w:rFonts w:hint="default" w:ascii="Times New Roman" w:hAnsi="Times New Roman" w:eastAsia="宋体" w:cs="Times New Roman"/>
          <w:b w:val="0"/>
          <w:bCs/>
          <w:color w:val="000000" w:themeColor="text1"/>
          <w:kern w:val="2"/>
          <w:sz w:val="32"/>
          <w:szCs w:val="32"/>
          <w:highlight w:val="none"/>
          <w:lang w:eastAsia="zh-CN"/>
          <w14:textFill>
            <w14:solidFill>
              <w14:schemeClr w14:val="tx1"/>
            </w14:solidFill>
          </w14:textFill>
        </w:rPr>
        <w:t>二</w:t>
      </w:r>
      <w:r>
        <w:rPr>
          <w:rFonts w:hint="default" w:ascii="Times New Roman" w:hAnsi="Times New Roman" w:eastAsia="宋体" w:cs="Times New Roman"/>
          <w:b w:val="0"/>
          <w:bCs/>
          <w:color w:val="000000" w:themeColor="text1"/>
          <w:kern w:val="2"/>
          <w:sz w:val="32"/>
          <w:szCs w:val="32"/>
          <w:highlight w:val="none"/>
          <w:lang w:val="en-US" w:eastAsia="zh-CN"/>
          <w14:textFill>
            <w14:solidFill>
              <w14:schemeClr w14:val="tx1"/>
            </w14:solidFill>
          </w14:textFill>
        </w:rPr>
        <w:t xml:space="preserve"> </w:t>
      </w:r>
      <w:r>
        <w:rPr>
          <w:rFonts w:hint="default" w:ascii="Times New Roman" w:hAnsi="Times New Roman" w:eastAsia="宋体" w:cs="Times New Roman"/>
          <w:b w:val="0"/>
          <w:bCs/>
          <w:color w:val="000000" w:themeColor="text1"/>
          <w:kern w:val="2"/>
          <w:sz w:val="32"/>
          <w:szCs w:val="32"/>
          <w:highlight w:val="none"/>
          <w14:textFill>
            <w14:solidFill>
              <w14:schemeClr w14:val="tx1"/>
            </w14:solidFill>
          </w14:textFill>
        </w:rPr>
        <w:t>年</w:t>
      </w:r>
      <w:r>
        <w:rPr>
          <w:rFonts w:hint="default" w:ascii="Times New Roman" w:hAnsi="Times New Roman" w:eastAsia="宋体" w:cs="Times New Roman"/>
          <w:b w:val="0"/>
          <w:bCs/>
          <w:color w:val="000000" w:themeColor="text1"/>
          <w:kern w:val="2"/>
          <w:sz w:val="32"/>
          <w:szCs w:val="32"/>
          <w:highlight w:val="none"/>
          <w:lang w:val="en-US" w:eastAsia="zh-CN"/>
          <w14:textFill>
            <w14:solidFill>
              <w14:schemeClr w14:val="tx1"/>
            </w14:solidFill>
          </w14:textFill>
        </w:rPr>
        <w:t xml:space="preserve"> </w:t>
      </w:r>
      <w:r>
        <w:rPr>
          <w:rFonts w:hint="eastAsia" w:ascii="Times New Roman" w:hAnsi="Times New Roman" w:eastAsia="宋体" w:cs="Times New Roman"/>
          <w:b w:val="0"/>
          <w:bCs/>
          <w:color w:val="000000" w:themeColor="text1"/>
          <w:kern w:val="2"/>
          <w:sz w:val="32"/>
          <w:szCs w:val="32"/>
          <w:highlight w:val="none"/>
          <w:lang w:val="en-US" w:eastAsia="zh-CN"/>
          <w14:textFill>
            <w14:solidFill>
              <w14:schemeClr w14:val="tx1"/>
            </w14:solidFill>
          </w14:textFill>
        </w:rPr>
        <w:t>十一</w:t>
      </w:r>
      <w:r>
        <w:rPr>
          <w:rFonts w:hint="default" w:ascii="Times New Roman" w:hAnsi="Times New Roman" w:eastAsia="宋体" w:cs="Times New Roman"/>
          <w:b w:val="0"/>
          <w:bCs/>
          <w:color w:val="000000" w:themeColor="text1"/>
          <w:kern w:val="2"/>
          <w:sz w:val="32"/>
          <w:szCs w:val="32"/>
          <w:highlight w:val="none"/>
          <w:lang w:val="en-US" w:eastAsia="zh-CN"/>
          <w14:textFill>
            <w14:solidFill>
              <w14:schemeClr w14:val="tx1"/>
            </w14:solidFill>
          </w14:textFill>
        </w:rPr>
        <w:t xml:space="preserve"> </w:t>
      </w:r>
      <w:r>
        <w:rPr>
          <w:rFonts w:hint="default" w:ascii="Times New Roman" w:hAnsi="Times New Roman" w:eastAsia="宋体" w:cs="Times New Roman"/>
          <w:b w:val="0"/>
          <w:bCs/>
          <w:color w:val="000000" w:themeColor="text1"/>
          <w:kern w:val="2"/>
          <w:sz w:val="32"/>
          <w:szCs w:val="32"/>
          <w:highlight w:val="none"/>
          <w14:textFill>
            <w14:solidFill>
              <w14:schemeClr w14:val="tx1"/>
            </w14:solidFill>
          </w14:textFill>
        </w:rPr>
        <w:t>月</w:t>
      </w:r>
      <w:r>
        <w:rPr>
          <w:rFonts w:hint="eastAsia" w:ascii="Times New Roman" w:hAnsi="Times New Roman" w:eastAsia="宋体" w:cs="Times New Roman"/>
          <w:b w:val="0"/>
          <w:bCs/>
          <w:color w:val="000000" w:themeColor="text1"/>
          <w:kern w:val="2"/>
          <w:sz w:val="32"/>
          <w:szCs w:val="32"/>
          <w:highlight w:val="none"/>
          <w:lang w:val="en-US" w:eastAsia="zh-CN"/>
          <w14:textFill>
            <w14:solidFill>
              <w14:schemeClr w14:val="tx1"/>
            </w14:solidFill>
          </w14:textFill>
        </w:rPr>
        <w:tab/>
      </w:r>
    </w:p>
    <w:p>
      <w:pPr>
        <w:bidi w:val="0"/>
        <w:rPr>
          <w:b/>
          <w:bCs/>
        </w:rPr>
      </w:pPr>
    </w:p>
    <w:p>
      <w:pPr>
        <w:bidi w:val="0"/>
        <w:rPr>
          <w:b/>
          <w:bCs/>
        </w:rPr>
      </w:pPr>
      <w:r>
        <w:rPr>
          <w:b/>
          <w:bCs/>
        </w:rPr>
        <w:t>企业概况</w:t>
      </w:r>
    </w:p>
    <w:p>
      <w:pPr>
        <w:bidi w:val="0"/>
      </w:pPr>
      <w:r>
        <w:rPr>
          <w:rFonts w:hint="eastAsia"/>
        </w:rPr>
        <w:t>赵县刘家庄村土地收储项目</w:t>
      </w:r>
      <w:r>
        <w:rPr>
          <w:rFonts w:hint="default"/>
        </w:rPr>
        <w:t>B</w:t>
      </w:r>
      <w:r>
        <w:rPr>
          <w:rFonts w:hint="eastAsia"/>
        </w:rPr>
        <w:t>区地块位于石家庄市赵县刘家庄村东，东至龙腾街、南至永通路、西至福美未来城小区、北至农田。中心地理坐标为东经</w:t>
      </w:r>
      <w:r>
        <w:rPr>
          <w:rFonts w:hint="default"/>
        </w:rPr>
        <w:t>114.79145°</w:t>
      </w:r>
      <w:r>
        <w:rPr>
          <w:rFonts w:hint="eastAsia"/>
        </w:rPr>
        <w:t xml:space="preserve">，北纬 </w:t>
      </w:r>
      <w:r>
        <w:rPr>
          <w:rFonts w:hint="default"/>
        </w:rPr>
        <w:t>37.75466°</w:t>
      </w:r>
      <w:r>
        <w:rPr>
          <w:rFonts w:hint="eastAsia"/>
        </w:rPr>
        <w:t>，总占地面积</w:t>
      </w:r>
      <w:r>
        <w:rPr>
          <w:rFonts w:hint="default"/>
        </w:rPr>
        <w:t>60877.10m</w:t>
      </w:r>
      <w:r>
        <w:rPr>
          <w:rFonts w:hint="default"/>
          <w:vertAlign w:val="superscript"/>
        </w:rPr>
        <w:t>2</w:t>
      </w:r>
      <w:r>
        <w:rPr>
          <w:rFonts w:hint="eastAsia"/>
        </w:rPr>
        <w:t>（约合</w:t>
      </w:r>
      <w:r>
        <w:rPr>
          <w:rFonts w:hint="default"/>
        </w:rPr>
        <w:t>91.32</w:t>
      </w:r>
      <w:r>
        <w:rPr>
          <w:rFonts w:hint="eastAsia"/>
        </w:rPr>
        <w:t>亩）。</w:t>
      </w:r>
    </w:p>
    <w:p>
      <w:pPr>
        <w:bidi w:val="0"/>
      </w:pPr>
      <w:r>
        <w:rPr>
          <w:rFonts w:hint="eastAsia"/>
        </w:rPr>
        <w:t>本项目共有</w:t>
      </w:r>
      <w:r>
        <w:rPr>
          <w:rFonts w:hint="default"/>
        </w:rPr>
        <w:t>5</w:t>
      </w:r>
      <w:r>
        <w:rPr>
          <w:rFonts w:hint="eastAsia"/>
        </w:rPr>
        <w:t>个地块组成，</w:t>
      </w:r>
      <w:r>
        <w:rPr>
          <w:rFonts w:hint="default"/>
        </w:rPr>
        <w:t>1</w:t>
      </w:r>
      <w:r>
        <w:rPr>
          <w:rFonts w:hint="eastAsia"/>
        </w:rPr>
        <w:t>号地</w:t>
      </w:r>
      <w:r>
        <w:rPr>
          <w:rFonts w:hint="default"/>
        </w:rPr>
        <w:t>3745.5m</w:t>
      </w:r>
      <w:r>
        <w:rPr>
          <w:rFonts w:hint="default"/>
          <w:vertAlign w:val="superscript"/>
        </w:rPr>
        <w:t>2</w:t>
      </w:r>
      <w:r>
        <w:rPr>
          <w:rFonts w:hint="eastAsia"/>
        </w:rPr>
        <w:t>、</w:t>
      </w:r>
      <w:r>
        <w:rPr>
          <w:rFonts w:hint="default"/>
        </w:rPr>
        <w:t>2</w:t>
      </w:r>
      <w:r>
        <w:rPr>
          <w:rFonts w:hint="eastAsia"/>
        </w:rPr>
        <w:t>号地</w:t>
      </w:r>
      <w:r>
        <w:rPr>
          <w:rFonts w:hint="default"/>
        </w:rPr>
        <w:t>5169.2m</w:t>
      </w:r>
      <w:r>
        <w:rPr>
          <w:rFonts w:hint="default"/>
          <w:vertAlign w:val="superscript"/>
        </w:rPr>
        <w:t>2</w:t>
      </w:r>
      <w:r>
        <w:rPr>
          <w:rFonts w:hint="eastAsia"/>
        </w:rPr>
        <w:t>、</w:t>
      </w:r>
      <w:r>
        <w:rPr>
          <w:rFonts w:hint="default"/>
        </w:rPr>
        <w:t>3</w:t>
      </w:r>
      <w:r>
        <w:rPr>
          <w:rFonts w:hint="eastAsia"/>
        </w:rPr>
        <w:t>号地</w:t>
      </w:r>
      <w:r>
        <w:rPr>
          <w:rFonts w:hint="default"/>
        </w:rPr>
        <w:t>37064.1m</w:t>
      </w:r>
      <w:r>
        <w:rPr>
          <w:rFonts w:hint="default"/>
          <w:vertAlign w:val="superscript"/>
        </w:rPr>
        <w:t>2</w:t>
      </w:r>
      <w:r>
        <w:rPr>
          <w:rFonts w:hint="eastAsia"/>
        </w:rPr>
        <w:t>，</w:t>
      </w:r>
      <w:r>
        <w:rPr>
          <w:rFonts w:hint="default"/>
        </w:rPr>
        <w:t>4</w:t>
      </w:r>
      <w:r>
        <w:rPr>
          <w:rFonts w:hint="eastAsia"/>
        </w:rPr>
        <w:t>号地</w:t>
      </w:r>
      <w:r>
        <w:rPr>
          <w:rFonts w:hint="default"/>
        </w:rPr>
        <w:t>10451.8m</w:t>
      </w:r>
      <w:r>
        <w:rPr>
          <w:rFonts w:hint="default"/>
          <w:vertAlign w:val="superscript"/>
        </w:rPr>
        <w:t>2</w:t>
      </w:r>
      <w:r>
        <w:rPr>
          <w:rFonts w:hint="eastAsia"/>
        </w:rPr>
        <w:t>，</w:t>
      </w:r>
      <w:r>
        <w:rPr>
          <w:rFonts w:hint="default"/>
        </w:rPr>
        <w:t>5</w:t>
      </w:r>
      <w:r>
        <w:rPr>
          <w:rFonts w:hint="eastAsia"/>
        </w:rPr>
        <w:t>号地</w:t>
      </w:r>
      <w:r>
        <w:rPr>
          <w:rFonts w:hint="default"/>
        </w:rPr>
        <w:t>4446.5m</w:t>
      </w:r>
      <w:r>
        <w:rPr>
          <w:rFonts w:hint="default"/>
          <w:vertAlign w:val="superscript"/>
        </w:rPr>
        <w:t>2</w:t>
      </w:r>
      <w:r>
        <w:rPr>
          <w:rFonts w:hint="eastAsia"/>
        </w:rPr>
        <w:t>，地块历史至今一直为农用地。本项目地块历史至今未进行过工业生产经营活动。该项目地块规划用途为居住用地。</w:t>
      </w:r>
    </w:p>
    <w:p>
      <w:pPr>
        <w:bidi w:val="0"/>
        <w:rPr>
          <w:rFonts w:hint="eastAsia"/>
          <w:b/>
          <w:bCs/>
        </w:rPr>
      </w:pPr>
      <w:r>
        <w:rPr>
          <w:b/>
          <w:bCs/>
        </w:rPr>
        <w:t>现场采样和检测</w:t>
      </w:r>
    </w:p>
    <w:p>
      <w:pPr>
        <w:bidi w:val="0"/>
        <w:rPr>
          <w:rFonts w:hint="eastAsia"/>
          <w:lang w:val="zh-CN" w:eastAsia="zh-CN"/>
        </w:rPr>
      </w:pPr>
      <w:r>
        <w:rPr>
          <w:rFonts w:hint="eastAsia"/>
          <w:lang w:val="zh-CN" w:eastAsia="zh-CN"/>
        </w:rPr>
        <w:t>本项目土壤质量状况调查阶段采样工作于</w:t>
      </w:r>
      <w:r>
        <w:rPr>
          <w:rFonts w:hint="default"/>
          <w:lang w:val="zh-CN" w:eastAsia="zh-CN"/>
        </w:rPr>
        <w:t>2022</w:t>
      </w:r>
      <w:r>
        <w:rPr>
          <w:rFonts w:hint="eastAsia"/>
          <w:lang w:val="zh-CN" w:eastAsia="zh-CN"/>
        </w:rPr>
        <w:t>年</w:t>
      </w:r>
      <w:r>
        <w:rPr>
          <w:rFonts w:hint="default"/>
          <w:lang w:val="zh-CN" w:eastAsia="zh-CN"/>
        </w:rPr>
        <w:t>10</w:t>
      </w:r>
      <w:r>
        <w:rPr>
          <w:rFonts w:hint="eastAsia"/>
          <w:lang w:val="zh-CN" w:eastAsia="zh-CN"/>
        </w:rPr>
        <w:t>月</w:t>
      </w:r>
      <w:r>
        <w:rPr>
          <w:rFonts w:hint="default"/>
          <w:lang w:val="zh-CN" w:eastAsia="zh-CN"/>
        </w:rPr>
        <w:t>6</w:t>
      </w:r>
      <w:r>
        <w:rPr>
          <w:rFonts w:hint="eastAsia"/>
          <w:lang w:val="zh-CN" w:eastAsia="zh-CN"/>
        </w:rPr>
        <w:t>日</w:t>
      </w:r>
      <w:r>
        <w:rPr>
          <w:rFonts w:hint="default"/>
          <w:lang w:val="zh-CN" w:eastAsia="zh-CN"/>
        </w:rPr>
        <w:t>~8</w:t>
      </w:r>
      <w:r>
        <w:rPr>
          <w:rFonts w:hint="eastAsia"/>
          <w:lang w:val="zh-CN" w:eastAsia="zh-CN"/>
        </w:rPr>
        <w:t>日进行。现场共布设</w:t>
      </w:r>
      <w:r>
        <w:rPr>
          <w:rFonts w:hint="default"/>
          <w:lang w:val="zh-CN" w:eastAsia="zh-CN"/>
        </w:rPr>
        <w:t>25</w:t>
      </w:r>
      <w:r>
        <w:rPr>
          <w:rFonts w:hint="eastAsia"/>
          <w:lang w:val="zh-CN" w:eastAsia="zh-CN"/>
        </w:rPr>
        <w:t>个土壤监测点位，现场采集</w:t>
      </w:r>
      <w:r>
        <w:rPr>
          <w:rFonts w:hint="default"/>
          <w:lang w:val="zh-CN" w:eastAsia="zh-CN"/>
        </w:rPr>
        <w:t>50</w:t>
      </w:r>
      <w:r>
        <w:rPr>
          <w:rFonts w:hint="eastAsia"/>
          <w:lang w:val="zh-CN" w:eastAsia="zh-CN"/>
        </w:rPr>
        <w:t>组土壤样品，另采集</w:t>
      </w:r>
      <w:r>
        <w:rPr>
          <w:rFonts w:hint="default"/>
          <w:lang w:val="zh-CN" w:eastAsia="zh-CN"/>
        </w:rPr>
        <w:t>5</w:t>
      </w:r>
      <w:r>
        <w:rPr>
          <w:rFonts w:hint="eastAsia"/>
          <w:lang w:val="zh-CN" w:eastAsia="zh-CN"/>
        </w:rPr>
        <w:t>组土壤平行样品。全部由河北百润环境检测技术有限公司实验室进行化验分析。</w:t>
      </w:r>
    </w:p>
    <w:p>
      <w:pPr>
        <w:bidi w:val="0"/>
        <w:rPr>
          <w:rFonts w:hint="eastAsia"/>
          <w:lang w:val="zh-CN" w:eastAsia="zh-CN"/>
        </w:rPr>
      </w:pPr>
      <w:r>
        <w:rPr>
          <w:rFonts w:hint="eastAsia"/>
          <w:lang w:val="zh-CN" w:eastAsia="zh-CN"/>
        </w:rPr>
        <w:t>本项目调查采样全部由河北百润环境检测技术有限公司技术人员根据制定的采样方案进行。采集的所有土壤样品全部由经​计量认证合格的河北百润环境检测技术有限公司进行检测分析，目前已提供了全部检测样品的检测报告及质控报告。</w:t>
      </w:r>
    </w:p>
    <w:p>
      <w:pPr>
        <w:bidi w:val="0"/>
        <w:rPr>
          <w:rFonts w:hint="eastAsia"/>
          <w:b/>
          <w:bCs/>
        </w:rPr>
      </w:pPr>
      <w:r>
        <w:rPr>
          <w:b/>
          <w:bCs/>
        </w:rPr>
        <w:t>地块土壤检测结果分析</w:t>
      </w:r>
    </w:p>
    <w:p>
      <w:pPr>
        <w:bidi w:val="0"/>
      </w:pPr>
      <w:r>
        <w:rPr>
          <w:rFonts w:hint="eastAsia"/>
        </w:rPr>
        <w:t>根据对本项目地块土壤样品检测结果的分析统计，地块内测定的</w:t>
      </w:r>
      <w:r>
        <w:rPr>
          <w:rFonts w:hint="default"/>
        </w:rPr>
        <w:t>25</w:t>
      </w:r>
      <w:r>
        <w:rPr>
          <w:rFonts w:hint="eastAsia"/>
        </w:rPr>
        <w:t>个采样点位</w:t>
      </w:r>
      <w:r>
        <w:rPr>
          <w:rFonts w:hint="default"/>
        </w:rPr>
        <w:t>50</w:t>
      </w:r>
      <w:r>
        <w:rPr>
          <w:rFonts w:hint="eastAsia"/>
        </w:rPr>
        <w:t>组样品中，测定的重金属除六价铬外其他因子全部有检出，各因子检出浓度均未超过（</w:t>
      </w:r>
      <w:r>
        <w:rPr>
          <w:rFonts w:hint="default"/>
        </w:rPr>
        <w:t>GB 36600-2018</w:t>
      </w:r>
      <w:r>
        <w:rPr>
          <w:rFonts w:hint="eastAsia"/>
        </w:rPr>
        <w:t>）中第一类用地相应筛选值；测定的</w:t>
      </w:r>
      <w:r>
        <w:rPr>
          <w:rFonts w:hint="default"/>
        </w:rPr>
        <w:t>VOCs</w:t>
      </w:r>
      <w:r>
        <w:rPr>
          <w:rFonts w:hint="eastAsia"/>
        </w:rPr>
        <w:t>、</w:t>
      </w:r>
      <w:r>
        <w:rPr>
          <w:rFonts w:hint="default"/>
        </w:rPr>
        <w:t>SVOCs</w:t>
      </w:r>
      <w:r>
        <w:rPr>
          <w:rFonts w:hint="eastAsia"/>
        </w:rPr>
        <w:t>均未检出；增测的多环芳烃、有机氯农药均未检出。综上，地块内土壤质量均符合《土壤环境质量</w:t>
      </w:r>
      <w:r>
        <w:rPr>
          <w:rFonts w:hint="default"/>
        </w:rPr>
        <w:t xml:space="preserve"> </w:t>
      </w:r>
      <w:r>
        <w:rPr>
          <w:rFonts w:hint="eastAsia"/>
        </w:rPr>
        <w:t>建设用地土壤污染风险管控标准（试行）》（</w:t>
      </w:r>
      <w:r>
        <w:rPr>
          <w:rFonts w:hint="default"/>
        </w:rPr>
        <w:t>GB 36600-2018</w:t>
      </w:r>
      <w:r>
        <w:rPr>
          <w:rFonts w:hint="eastAsia"/>
        </w:rPr>
        <w:t>）中第一类用地质量标准，土壤环境质量状况良好，未受到地块内历史农业活动及周边生产活动的影响。</w:t>
      </w:r>
    </w:p>
    <w:p>
      <w:pPr>
        <w:bidi w:val="0"/>
        <w:rPr>
          <w:rFonts w:hint="eastAsia"/>
          <w:b/>
          <w:bCs/>
        </w:rPr>
      </w:pPr>
      <w:r>
        <w:rPr>
          <w:b/>
          <w:bCs/>
        </w:rPr>
        <w:t>调查结论</w:t>
      </w:r>
    </w:p>
    <w:p>
      <w:pPr>
        <w:bidi w:val="0"/>
        <w:rPr>
          <w:rFonts w:hint="eastAsia"/>
        </w:rPr>
      </w:pPr>
      <w:r>
        <w:rPr>
          <w:rFonts w:hint="eastAsia"/>
        </w:rPr>
        <w:t>根据本项目土壤检测报告统计分析结果，本地块不属于污染地块，无需启动详细调查及风险评估工作。根据《建设用地土壤污染调查技术导则》（</w:t>
      </w:r>
      <w:r>
        <w:rPr>
          <w:rFonts w:hint="default"/>
        </w:rPr>
        <w:t>HJ 25.1-2019</w:t>
      </w:r>
      <w:r>
        <w:rPr>
          <w:rFonts w:hint="eastAsia"/>
        </w:rPr>
        <w:t>），本地块调查工作到该阶段（技术路线第二阶段）结束。</w:t>
      </w:r>
    </w:p>
    <w:p>
      <w:pPr>
        <w:bidi w:val="0"/>
      </w:pPr>
      <w:r>
        <w:rPr>
          <w:rFonts w:hint="eastAsia"/>
        </w:rPr>
        <w:t>该地块拟规划为居住用地，地块按照《土壤环境质量</w:t>
      </w:r>
      <w:r>
        <w:rPr>
          <w:rFonts w:hint="default"/>
        </w:rPr>
        <w:t xml:space="preserve"> </w:t>
      </w:r>
      <w:r>
        <w:rPr>
          <w:rFonts w:hint="eastAsia"/>
        </w:rPr>
        <w:t>建设用地土壤污染风险管控标准（试行）》（</w:t>
      </w:r>
      <w:r>
        <w:rPr>
          <w:rFonts w:hint="default"/>
        </w:rPr>
        <w:t>GB 36600-2018</w:t>
      </w:r>
      <w:r>
        <w:rPr>
          <w:rFonts w:hint="eastAsia"/>
        </w:rPr>
        <w:t>）中的第一类用地进行评价，根据监测结果分析，本地块达到一类用地标准，因此本地块可作为居住用地安全利用。</w:t>
      </w: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ind w:firstLine="480"/>
      </w:pPr>
      <w:r>
        <w:separator/>
      </w:r>
    </w:p>
  </w:footnote>
  <w:footnote w:type="continuationSeparator" w:id="1">
    <w:p>
      <w:pPr>
        <w:spacing w:before="0" w:after="0" w:line="24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kxNTY1YTMwNjM0OWVkNTg4MWNlMWJhYWE5Mzk3N2QifQ=="/>
  </w:docVars>
  <w:rsids>
    <w:rsidRoot w:val="0A8A6C45"/>
    <w:rsid w:val="00983F8B"/>
    <w:rsid w:val="00AF4DB9"/>
    <w:rsid w:val="00EE50F7"/>
    <w:rsid w:val="014541C4"/>
    <w:rsid w:val="015C0A23"/>
    <w:rsid w:val="01FA1C1A"/>
    <w:rsid w:val="02A56BAA"/>
    <w:rsid w:val="034D353C"/>
    <w:rsid w:val="0A872B27"/>
    <w:rsid w:val="0A8A6C45"/>
    <w:rsid w:val="0B810226"/>
    <w:rsid w:val="0C8278CB"/>
    <w:rsid w:val="0D71249C"/>
    <w:rsid w:val="110C4533"/>
    <w:rsid w:val="11BC1E15"/>
    <w:rsid w:val="11F0177A"/>
    <w:rsid w:val="1232212E"/>
    <w:rsid w:val="12766FBA"/>
    <w:rsid w:val="13C64F07"/>
    <w:rsid w:val="15246329"/>
    <w:rsid w:val="177A00B2"/>
    <w:rsid w:val="1B235D30"/>
    <w:rsid w:val="1C3601EB"/>
    <w:rsid w:val="1DEC729A"/>
    <w:rsid w:val="1FB82D10"/>
    <w:rsid w:val="20EE44B0"/>
    <w:rsid w:val="25890C15"/>
    <w:rsid w:val="263655F5"/>
    <w:rsid w:val="26DE1985"/>
    <w:rsid w:val="270C2820"/>
    <w:rsid w:val="291825EF"/>
    <w:rsid w:val="2BC35976"/>
    <w:rsid w:val="2C4C7CDD"/>
    <w:rsid w:val="2EB65FDC"/>
    <w:rsid w:val="316C6205"/>
    <w:rsid w:val="3372074B"/>
    <w:rsid w:val="33B627AE"/>
    <w:rsid w:val="35245352"/>
    <w:rsid w:val="36F31598"/>
    <w:rsid w:val="39170AFE"/>
    <w:rsid w:val="399F334E"/>
    <w:rsid w:val="3A592C45"/>
    <w:rsid w:val="3AFE56C3"/>
    <w:rsid w:val="3B656873"/>
    <w:rsid w:val="3BCF49DC"/>
    <w:rsid w:val="4120675E"/>
    <w:rsid w:val="421A147F"/>
    <w:rsid w:val="43D71274"/>
    <w:rsid w:val="45556773"/>
    <w:rsid w:val="48BC2F7F"/>
    <w:rsid w:val="49773476"/>
    <w:rsid w:val="4A5E10D2"/>
    <w:rsid w:val="4ADD3943"/>
    <w:rsid w:val="4BBC69B2"/>
    <w:rsid w:val="4ECD418D"/>
    <w:rsid w:val="509F2C51"/>
    <w:rsid w:val="519E0298"/>
    <w:rsid w:val="52A974B5"/>
    <w:rsid w:val="55346EF0"/>
    <w:rsid w:val="56F9069F"/>
    <w:rsid w:val="58F529E2"/>
    <w:rsid w:val="590A2E35"/>
    <w:rsid w:val="5BA523AF"/>
    <w:rsid w:val="5C5026CF"/>
    <w:rsid w:val="5C710A02"/>
    <w:rsid w:val="5CA92AA2"/>
    <w:rsid w:val="5E1273F3"/>
    <w:rsid w:val="5FCD2E69"/>
    <w:rsid w:val="62BB0CA1"/>
    <w:rsid w:val="634E1083"/>
    <w:rsid w:val="64037B1C"/>
    <w:rsid w:val="658F5F25"/>
    <w:rsid w:val="66ED52B9"/>
    <w:rsid w:val="66F91213"/>
    <w:rsid w:val="69B96B6B"/>
    <w:rsid w:val="6B9048F5"/>
    <w:rsid w:val="734141FE"/>
    <w:rsid w:val="755C49A3"/>
    <w:rsid w:val="762E328F"/>
    <w:rsid w:val="777D10B5"/>
    <w:rsid w:val="789E0529"/>
    <w:rsid w:val="79507900"/>
    <w:rsid w:val="7A78408D"/>
    <w:rsid w:val="7B156FB8"/>
    <w:rsid w:val="7B18583E"/>
    <w:rsid w:val="7F2C7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utoSpaceDE w:val="0"/>
      <w:autoSpaceDN w:val="0"/>
      <w:spacing w:before="0" w:after="0" w:line="500" w:lineRule="exact"/>
      <w:ind w:left="0" w:right="0" w:firstLine="883" w:firstLineChars="200"/>
      <w:jc w:val="left"/>
    </w:pPr>
    <w:rPr>
      <w:rFonts w:ascii="Times New Roman" w:hAnsi="Times New Roman" w:eastAsia="宋体" w:cs="宋体"/>
      <w:sz w:val="24"/>
      <w:szCs w:val="22"/>
      <w:lang w:val="zh-CN" w:eastAsia="zh-CN" w:bidi="zh-CN"/>
    </w:rPr>
  </w:style>
  <w:style w:type="paragraph" w:styleId="4">
    <w:name w:val="heading 1"/>
    <w:basedOn w:val="1"/>
    <w:next w:val="1"/>
    <w:link w:val="17"/>
    <w:qFormat/>
    <w:uiPriority w:val="0"/>
    <w:pPr>
      <w:spacing w:before="180" w:after="180"/>
      <w:ind w:firstLine="0" w:firstLineChars="0"/>
      <w:outlineLvl w:val="0"/>
    </w:pPr>
    <w:rPr>
      <w:rFonts w:ascii="Times New Roman" w:hAnsi="Times New Roman" w:cs="Times New Roman"/>
      <w:b/>
      <w:kern w:val="44"/>
      <w:sz w:val="32"/>
      <w:szCs w:val="44"/>
    </w:rPr>
  </w:style>
  <w:style w:type="paragraph" w:styleId="5">
    <w:name w:val="heading 2"/>
    <w:basedOn w:val="1"/>
    <w:next w:val="1"/>
    <w:link w:val="18"/>
    <w:semiHidden/>
    <w:unhideWhenUsed/>
    <w:qFormat/>
    <w:uiPriority w:val="0"/>
    <w:pPr>
      <w:keepNext/>
      <w:keepLines/>
      <w:spacing w:before="120" w:after="120" w:line="520" w:lineRule="exact"/>
      <w:ind w:firstLine="0" w:firstLineChars="0"/>
      <w:jc w:val="left"/>
      <w:outlineLvl w:val="1"/>
    </w:pPr>
    <w:rPr>
      <w:rFonts w:ascii="Cambria" w:hAnsi="Cambria" w:eastAsia="宋体" w:cs="Times New Roman"/>
      <w:b/>
      <w:bCs/>
      <w:sz w:val="30"/>
      <w:szCs w:val="32"/>
    </w:rPr>
  </w:style>
  <w:style w:type="paragraph" w:styleId="6">
    <w:name w:val="heading 3"/>
    <w:basedOn w:val="1"/>
    <w:next w:val="1"/>
    <w:link w:val="16"/>
    <w:semiHidden/>
    <w:unhideWhenUsed/>
    <w:qFormat/>
    <w:uiPriority w:val="0"/>
    <w:pPr>
      <w:keepNext/>
      <w:keepLines/>
      <w:spacing w:before="60" w:after="60"/>
      <w:ind w:firstLine="0" w:firstLineChars="0"/>
      <w:jc w:val="left"/>
      <w:outlineLvl w:val="2"/>
    </w:pPr>
    <w:rPr>
      <w:rFonts w:ascii="Times New Roman" w:hAnsi="Times New Roman" w:eastAsia="宋体" w:cstheme="minorBidi"/>
      <w:b/>
      <w:kern w:val="0"/>
      <w:sz w:val="28"/>
    </w:rPr>
  </w:style>
  <w:style w:type="paragraph" w:styleId="3">
    <w:name w:val="heading 4"/>
    <w:basedOn w:val="1"/>
    <w:next w:val="1"/>
    <w:link w:val="25"/>
    <w:semiHidden/>
    <w:unhideWhenUsed/>
    <w:qFormat/>
    <w:uiPriority w:val="0"/>
    <w:pPr>
      <w:keepNext/>
      <w:keepLines/>
      <w:spacing w:before="40" w:after="40" w:line="480" w:lineRule="exact"/>
      <w:ind w:firstLine="0" w:firstLineChars="0"/>
      <w:jc w:val="left"/>
      <w:outlineLvl w:val="3"/>
    </w:pPr>
    <w:rPr>
      <w:rFonts w:ascii="Times New Roman" w:hAnsi="Times New Roman" w:eastAsia="宋体" w:cs="Times New Roman"/>
      <w:b/>
      <w:szCs w:val="28"/>
    </w:rPr>
  </w:style>
  <w:style w:type="character" w:default="1" w:styleId="15">
    <w:name w:val="Default Paragraph Font"/>
    <w:semiHidden/>
    <w:unhideWhenUsed/>
    <w:qFormat/>
    <w:uiPriority w:val="1"/>
  </w:style>
  <w:style w:type="table" w:default="1" w:styleId="14">
    <w:name w:val="Normal Table"/>
    <w:semiHidden/>
    <w:qFormat/>
    <w:uiPriority w:val="0"/>
    <w:tblPr>
      <w:tblCellMar>
        <w:top w:w="0" w:type="dxa"/>
        <w:left w:w="108" w:type="dxa"/>
        <w:bottom w:w="0" w:type="dxa"/>
        <w:right w:w="108" w:type="dxa"/>
      </w:tblCellMar>
    </w:tblPr>
  </w:style>
  <w:style w:type="paragraph" w:styleId="2">
    <w:name w:val="Normal Indent"/>
    <w:basedOn w:val="1"/>
    <w:next w:val="3"/>
    <w:qFormat/>
    <w:uiPriority w:val="0"/>
    <w:pPr>
      <w:ind w:firstLine="420" w:firstLineChars="200"/>
    </w:pPr>
  </w:style>
  <w:style w:type="paragraph" w:styleId="7">
    <w:name w:val="toc 7"/>
    <w:basedOn w:val="1"/>
    <w:next w:val="1"/>
    <w:qFormat/>
    <w:uiPriority w:val="0"/>
    <w:pPr>
      <w:spacing w:line="240" w:lineRule="atLeast"/>
      <w:ind w:left="2520" w:leftChars="1200" w:firstLine="0" w:firstLineChars="0"/>
    </w:pPr>
    <w:rPr>
      <w:rFonts w:ascii="Times New Roman" w:hAnsi="Times New Roman"/>
    </w:rPr>
  </w:style>
  <w:style w:type="paragraph" w:styleId="8">
    <w:name w:val="caption"/>
    <w:basedOn w:val="1"/>
    <w:next w:val="1"/>
    <w:semiHidden/>
    <w:unhideWhenUsed/>
    <w:qFormat/>
    <w:uiPriority w:val="0"/>
    <w:pPr>
      <w:spacing w:line="340" w:lineRule="exact"/>
      <w:ind w:firstLine="0" w:firstLineChars="0"/>
      <w:jc w:val="center"/>
    </w:pPr>
    <w:rPr>
      <w:rFonts w:ascii="Times New Roman" w:hAnsi="Times New Roman" w:eastAsia="宋体"/>
      <w:b/>
      <w:sz w:val="24"/>
      <w:szCs w:val="24"/>
    </w:rPr>
  </w:style>
  <w:style w:type="paragraph" w:styleId="9">
    <w:name w:val="Document Map"/>
    <w:basedOn w:val="1"/>
    <w:link w:val="22"/>
    <w:qFormat/>
    <w:uiPriority w:val="0"/>
    <w:pPr>
      <w:ind w:firstLine="0" w:firstLineChars="0"/>
    </w:pPr>
    <w:rPr>
      <w:rFonts w:ascii="宋体" w:hAnsi="宋体"/>
      <w:kern w:val="0"/>
      <w:sz w:val="18"/>
      <w:szCs w:val="18"/>
    </w:rPr>
  </w:style>
  <w:style w:type="paragraph" w:styleId="10">
    <w:name w:val="Body Text"/>
    <w:basedOn w:val="1"/>
    <w:qFormat/>
    <w:uiPriority w:val="0"/>
    <w:pPr>
      <w:spacing w:after="120" w:afterLines="0" w:afterAutospacing="0"/>
    </w:pPr>
  </w:style>
  <w:style w:type="paragraph" w:styleId="11">
    <w:name w:val="table of figures"/>
    <w:basedOn w:val="1"/>
    <w:next w:val="1"/>
    <w:qFormat/>
    <w:uiPriority w:val="0"/>
    <w:pPr>
      <w:spacing w:line="480" w:lineRule="exact"/>
      <w:ind w:leftChars="200" w:firstLine="0" w:firstLineChars="0"/>
    </w:pPr>
    <w:rPr>
      <w:rFonts w:ascii="Times New Roman" w:hAnsi="Times New Roman" w:eastAsia="宋体"/>
      <w:sz w:val="24"/>
      <w:szCs w:val="24"/>
    </w:rPr>
  </w:style>
  <w:style w:type="paragraph" w:styleId="12">
    <w:name w:val="toc 2"/>
    <w:next w:val="1"/>
    <w:qFormat/>
    <w:uiPriority w:val="0"/>
    <w:pPr>
      <w:widowControl w:val="0"/>
      <w:spacing w:line="480" w:lineRule="exact"/>
      <w:ind w:left="420" w:leftChars="200" w:firstLine="960" w:firstLineChars="200"/>
    </w:pPr>
    <w:rPr>
      <w:rFonts w:ascii="Times New Roman" w:hAnsi="Times New Roman" w:eastAsia="宋体" w:cstheme="minorBidi"/>
      <w:kern w:val="2"/>
      <w:sz w:val="24"/>
      <w:szCs w:val="22"/>
      <w:lang w:val="en-US" w:eastAsia="zh-CN" w:bidi="ar-SA"/>
    </w:rPr>
  </w:style>
  <w:style w:type="paragraph" w:styleId="13">
    <w:name w:val="Normal (Web)"/>
    <w:basedOn w:val="1"/>
    <w:uiPriority w:val="0"/>
    <w:pPr>
      <w:spacing w:before="0" w:beforeAutospacing="1" w:after="0" w:afterAutospacing="1"/>
      <w:ind w:left="0" w:right="0"/>
      <w:jc w:val="left"/>
    </w:pPr>
    <w:rPr>
      <w:kern w:val="0"/>
      <w:sz w:val="24"/>
      <w:lang w:val="en-US" w:eastAsia="zh-CN" w:bidi="ar"/>
    </w:rPr>
  </w:style>
  <w:style w:type="character" w:customStyle="1" w:styleId="16">
    <w:name w:val="标题 3 Char"/>
    <w:link w:val="6"/>
    <w:qFormat/>
    <w:uiPriority w:val="0"/>
    <w:rPr>
      <w:rFonts w:ascii="Times New Roman" w:hAnsi="Times New Roman" w:eastAsia="宋体" w:cstheme="minorBidi"/>
      <w:b/>
      <w:sz w:val="28"/>
    </w:rPr>
  </w:style>
  <w:style w:type="character" w:customStyle="1" w:styleId="17">
    <w:name w:val="标题 1 Char"/>
    <w:basedOn w:val="15"/>
    <w:link w:val="4"/>
    <w:qFormat/>
    <w:uiPriority w:val="0"/>
    <w:rPr>
      <w:rFonts w:ascii="Times New Roman" w:hAnsi="Times New Roman" w:eastAsia="宋体" w:cs="Times New Roman"/>
      <w:b/>
      <w:kern w:val="44"/>
      <w:sz w:val="44"/>
    </w:rPr>
  </w:style>
  <w:style w:type="character" w:customStyle="1" w:styleId="18">
    <w:name w:val="标题 2 Char"/>
    <w:basedOn w:val="15"/>
    <w:link w:val="5"/>
    <w:qFormat/>
    <w:uiPriority w:val="0"/>
    <w:rPr>
      <w:rFonts w:ascii="Cambria" w:hAnsi="Cambria" w:eastAsia="宋体" w:cs="Times New Roman"/>
      <w:b/>
      <w:bCs/>
      <w:sz w:val="32"/>
      <w:szCs w:val="32"/>
    </w:rPr>
  </w:style>
  <w:style w:type="paragraph" w:customStyle="1" w:styleId="19">
    <w:name w:val="表"/>
    <w:link w:val="20"/>
    <w:qFormat/>
    <w:uiPriority w:val="0"/>
    <w:pPr>
      <w:spacing w:line="240" w:lineRule="atLeast"/>
      <w:jc w:val="center"/>
    </w:pPr>
    <w:rPr>
      <w:rFonts w:ascii="Times New Roman" w:hAnsi="Times New Roman" w:eastAsia="宋体" w:cstheme="minorBidi"/>
      <w:sz w:val="21"/>
      <w:szCs w:val="21"/>
      <w:lang w:val="en-US" w:eastAsia="zh-CN" w:bidi="ar-SA"/>
    </w:rPr>
  </w:style>
  <w:style w:type="character" w:customStyle="1" w:styleId="20">
    <w:name w:val="表 Char"/>
    <w:link w:val="19"/>
    <w:qFormat/>
    <w:uiPriority w:val="0"/>
    <w:rPr>
      <w:rFonts w:ascii="Times New Roman" w:hAnsi="Times New Roman" w:eastAsia="宋体"/>
      <w:sz w:val="21"/>
      <w:szCs w:val="21"/>
      <w:lang w:val="en-US" w:eastAsia="zh-CN" w:bidi="ar-SA"/>
    </w:rPr>
  </w:style>
  <w:style w:type="paragraph" w:customStyle="1" w:styleId="21">
    <w:name w:val="兰天 规划 正文"/>
    <w:basedOn w:val="1"/>
    <w:qFormat/>
    <w:uiPriority w:val="0"/>
    <w:pPr>
      <w:widowControl/>
      <w:adjustRightInd w:val="0"/>
      <w:snapToGrid w:val="0"/>
      <w:spacing w:line="480" w:lineRule="exact"/>
      <w:ind w:firstLine="200" w:firstLineChars="200"/>
    </w:pPr>
    <w:rPr>
      <w:color w:val="0070C0"/>
      <w:spacing w:val="4"/>
      <w:kern w:val="0"/>
      <w:sz w:val="24"/>
      <w:szCs w:val="22"/>
    </w:rPr>
  </w:style>
  <w:style w:type="character" w:customStyle="1" w:styleId="22">
    <w:name w:val="文档结构图 Char"/>
    <w:link w:val="9"/>
    <w:qFormat/>
    <w:uiPriority w:val="0"/>
    <w:rPr>
      <w:rFonts w:ascii="宋体" w:hAnsi="宋体" w:eastAsia="宋体" w:cs="宋体"/>
      <w:sz w:val="18"/>
      <w:szCs w:val="18"/>
    </w:rPr>
  </w:style>
  <w:style w:type="paragraph" w:customStyle="1" w:styleId="23">
    <w:name w:val="表格"/>
    <w:next w:val="1"/>
    <w:link w:val="24"/>
    <w:qFormat/>
    <w:uiPriority w:val="0"/>
    <w:pPr>
      <w:spacing w:line="360" w:lineRule="exact"/>
      <w:ind w:firstLine="0" w:firstLineChars="0"/>
      <w:jc w:val="center"/>
    </w:pPr>
    <w:rPr>
      <w:rFonts w:ascii="Times New Roman" w:hAnsi="Times New Roman" w:eastAsia="宋体" w:cs="Times New Roman"/>
      <w:sz w:val="21"/>
    </w:rPr>
  </w:style>
  <w:style w:type="character" w:customStyle="1" w:styleId="24">
    <w:name w:val="表格 Char"/>
    <w:link w:val="23"/>
    <w:qFormat/>
    <w:uiPriority w:val="0"/>
    <w:rPr>
      <w:rFonts w:ascii="Times New Roman" w:hAnsi="Times New Roman" w:eastAsia="宋体" w:cs="Times New Roman"/>
      <w:kern w:val="2"/>
      <w:sz w:val="21"/>
      <w:szCs w:val="24"/>
      <w:lang w:val="en-US" w:eastAsia="zh-CN" w:bidi="ar-SA"/>
    </w:rPr>
  </w:style>
  <w:style w:type="character" w:customStyle="1" w:styleId="25">
    <w:name w:val="标题 4 Char"/>
    <w:link w:val="3"/>
    <w:qFormat/>
    <w:uiPriority w:val="9"/>
    <w:rPr>
      <w:rFonts w:ascii="Times New Roman" w:hAnsi="Times New Roman" w:eastAsia="宋体" w:cs="Times New Roman"/>
      <w:b/>
      <w:kern w:val="2"/>
      <w:sz w:val="24"/>
      <w:szCs w:val="24"/>
      <w:lang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788</Words>
  <Characters>910</Characters>
  <Lines>0</Lines>
  <Paragraphs>0</Paragraphs>
  <TotalTime>1</TotalTime>
  <ScaleCrop>false</ScaleCrop>
  <LinksUpToDate>false</LinksUpToDate>
  <CharactersWithSpaces>919</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2022-11-25T06:30:00Z</dcterms:created>
  <dc:creator>李广鹏</dc:creator>
  <cp:lastModifiedBy>李广鹏</cp:lastModifiedBy>
  <dcterms:modified xsi:type="dcterms:W3CDTF">2022-11-25T06:35:42Z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2C3185C7618B4EC6824285B9CF23A34F</vt:lpwstr>
  </property>
</Properties>
</file>