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240" w:afterLines="100"/>
        <w:ind w:firstLine="0" w:firstLineChars="0"/>
        <w:jc w:val="both"/>
        <w:rPr>
          <w:rFonts w:cs="Times New Roman"/>
          <w:b/>
          <w:bCs/>
          <w:color w:val="0070C0"/>
          <w:sz w:val="36"/>
          <w:szCs w:val="36"/>
        </w:rPr>
      </w:pPr>
    </w:p>
    <w:p>
      <w:pPr>
        <w:spacing w:after="240" w:afterLines="100"/>
        <w:ind w:firstLine="0" w:firstLineChars="0"/>
        <w:jc w:val="center"/>
        <w:rPr>
          <w:rFonts w:cs="Times New Roman"/>
          <w:b/>
          <w:bCs/>
          <w:color w:val="0070C0"/>
          <w:sz w:val="36"/>
          <w:szCs w:val="36"/>
        </w:rPr>
      </w:pPr>
    </w:p>
    <w:p>
      <w:pPr>
        <w:pStyle w:val="7"/>
        <w:topLinePunct/>
        <w:spacing w:line="1000" w:lineRule="exact"/>
        <w:ind w:firstLine="0" w:firstLineChars="0"/>
        <w:rPr>
          <w:rFonts w:hint="eastAsia" w:ascii="宋体" w:hAnsi="宋体" w:eastAsia="宋体" w:cs="宋体"/>
          <w:b/>
          <w:bCs/>
          <w:color w:val="auto"/>
          <w:spacing w:val="20"/>
          <w:sz w:val="48"/>
          <w:szCs w:val="48"/>
          <w:lang w:eastAsia="zh-CN"/>
        </w:rPr>
      </w:pPr>
      <w:r>
        <w:rPr>
          <w:rFonts w:hint="eastAsia" w:ascii="宋体" w:hAnsi="宋体" w:cs="宋体"/>
          <w:b/>
          <w:bCs/>
          <w:color w:val="auto"/>
          <w:spacing w:val="20"/>
          <w:sz w:val="48"/>
          <w:szCs w:val="48"/>
          <w:lang w:eastAsia="zh-CN"/>
        </w:rPr>
        <w:t>承德市鹰手营子矿区伟安小区二期地块</w:t>
      </w:r>
      <w:r>
        <w:rPr>
          <w:rFonts w:hint="eastAsia" w:ascii="Times New Roman" w:hAnsi="Times New Roman" w:cs="Times New Roman"/>
          <w:b/>
          <w:bCs/>
          <w:color w:val="auto"/>
          <w:spacing w:val="20"/>
          <w:kern w:val="2"/>
          <w:sz w:val="44"/>
          <w:szCs w:val="44"/>
          <w:highlight w:val="none"/>
          <w:lang w:val="en-US" w:eastAsia="zh-CN" w:bidi="ar-SA"/>
        </w:rPr>
        <w:t>（营子镇喇嘛沟1#、2#地块）</w:t>
      </w:r>
    </w:p>
    <w:p>
      <w:pPr>
        <w:pStyle w:val="7"/>
        <w:topLinePunct/>
        <w:spacing w:line="1000" w:lineRule="exact"/>
        <w:ind w:firstLine="0" w:firstLineChars="0"/>
        <w:rPr>
          <w:rFonts w:hint="eastAsia" w:ascii="宋体" w:hAnsi="宋体" w:eastAsia="宋体" w:cs="宋体"/>
          <w:b/>
          <w:bCs/>
          <w:color w:val="auto"/>
          <w:spacing w:val="20"/>
          <w:sz w:val="56"/>
          <w:szCs w:val="56"/>
          <w:lang w:eastAsia="zh-CN"/>
        </w:rPr>
      </w:pPr>
      <w:r>
        <w:rPr>
          <w:rFonts w:hint="eastAsia" w:ascii="宋体" w:hAnsi="宋体" w:eastAsia="宋体" w:cs="宋体"/>
          <w:b/>
          <w:bCs/>
          <w:color w:val="auto"/>
          <w:spacing w:val="20"/>
          <w:sz w:val="72"/>
          <w:szCs w:val="72"/>
          <w:lang w:eastAsia="zh-CN"/>
        </w:rPr>
        <w:t>土壤污染状况调查</w:t>
      </w:r>
      <w:r>
        <w:rPr>
          <w:rFonts w:hint="eastAsia" w:ascii="宋体" w:hAnsi="宋体" w:cs="宋体"/>
          <w:b/>
          <w:bCs/>
          <w:color w:val="auto"/>
          <w:spacing w:val="20"/>
          <w:sz w:val="72"/>
          <w:szCs w:val="72"/>
          <w:lang w:eastAsia="zh-CN"/>
        </w:rPr>
        <w:t>报告</w:t>
      </w:r>
    </w:p>
    <w:p>
      <w:pPr>
        <w:tabs>
          <w:tab w:val="left" w:pos="3456"/>
        </w:tabs>
        <w:spacing w:before="240" w:beforeLines="100" w:line="240" w:lineRule="auto"/>
        <w:ind w:firstLine="0" w:firstLineChars="0"/>
        <w:jc w:val="center"/>
        <w:rPr>
          <w:rFonts w:hint="default" w:ascii="Times New Roman" w:hAnsi="Times New Roman" w:eastAsia="宋体" w:cs="Times New Roman"/>
          <w:b/>
          <w:bCs/>
          <w:color w:val="auto"/>
          <w:sz w:val="36"/>
          <w:szCs w:val="36"/>
        </w:rPr>
      </w:pPr>
      <w:r>
        <w:rPr>
          <w:rFonts w:hint="default" w:ascii="Times New Roman" w:hAnsi="Times New Roman" w:eastAsia="宋体" w:cs="Times New Roman"/>
          <w:b/>
          <w:bCs/>
          <w:color w:val="auto"/>
          <w:sz w:val="36"/>
          <w:szCs w:val="36"/>
        </w:rPr>
        <w:t>（</w:t>
      </w:r>
      <w:r>
        <w:rPr>
          <w:rFonts w:hint="eastAsia" w:eastAsia="宋体" w:cs="Times New Roman"/>
          <w:b/>
          <w:bCs/>
          <w:color w:val="auto"/>
          <w:sz w:val="36"/>
          <w:szCs w:val="36"/>
          <w:lang w:eastAsia="zh-CN"/>
        </w:rPr>
        <w:t>公示本</w:t>
      </w:r>
      <w:r>
        <w:rPr>
          <w:rFonts w:hint="default" w:ascii="Times New Roman" w:hAnsi="Times New Roman" w:eastAsia="宋体" w:cs="Times New Roman"/>
          <w:b/>
          <w:bCs/>
          <w:color w:val="auto"/>
          <w:sz w:val="36"/>
          <w:szCs w:val="36"/>
        </w:rPr>
        <w:t>）</w:t>
      </w:r>
    </w:p>
    <w:p>
      <w:pPr>
        <w:pStyle w:val="7"/>
        <w:topLinePunct/>
        <w:spacing w:line="360" w:lineRule="auto"/>
        <w:ind w:firstLine="0" w:firstLineChars="0"/>
        <w:rPr>
          <w:rFonts w:hint="eastAsia" w:ascii="Times New Roman" w:hAnsi="Times New Roman" w:eastAsia="宋体" w:cs="Times New Roman"/>
          <w:b/>
          <w:spacing w:val="20"/>
          <w:sz w:val="72"/>
          <w:szCs w:val="72"/>
          <w:lang w:eastAsia="zh-CN"/>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pStyle w:val="10"/>
        <w:widowControl w:val="0"/>
        <w:topLinePunct/>
        <w:snapToGrid w:val="0"/>
        <w:spacing w:before="0" w:beforeAutospacing="0" w:after="0" w:afterAutospacing="0" w:line="360" w:lineRule="auto"/>
        <w:ind w:firstLine="964" w:firstLineChars="300"/>
        <w:jc w:val="left"/>
        <w:rPr>
          <w:rFonts w:hint="default" w:ascii="Times New Roman" w:hAnsi="Times New Roman" w:eastAsia="宋体" w:cs="Times New Roman"/>
          <w:b/>
          <w:bCs w:val="0"/>
          <w:color w:val="auto"/>
          <w:kern w:val="2"/>
          <w:sz w:val="32"/>
          <w:szCs w:val="32"/>
          <w:highlight w:val="none"/>
          <w:lang w:eastAsia="zh-CN"/>
        </w:rPr>
      </w:pPr>
      <w:r>
        <w:rPr>
          <w:rFonts w:hint="default" w:ascii="Times New Roman" w:hAnsi="Times New Roman" w:eastAsia="宋体" w:cs="Times New Roman"/>
          <w:b/>
          <w:color w:val="auto"/>
          <w:kern w:val="2"/>
          <w:sz w:val="32"/>
          <w:szCs w:val="32"/>
          <w:highlight w:val="none"/>
        </w:rPr>
        <w:t>委托单位：</w:t>
      </w:r>
      <w:r>
        <w:rPr>
          <w:rFonts w:hint="eastAsia" w:ascii="Times New Roman" w:hAnsi="Times New Roman" w:cs="Times New Roman"/>
          <w:b/>
          <w:bCs w:val="0"/>
          <w:color w:val="auto"/>
          <w:kern w:val="2"/>
          <w:sz w:val="32"/>
          <w:szCs w:val="32"/>
          <w:highlight w:val="none"/>
          <w:lang w:eastAsia="zh-CN"/>
        </w:rPr>
        <w:t>承德市鹰手营子矿区土地储备中心</w:t>
      </w:r>
    </w:p>
    <w:p>
      <w:pPr>
        <w:pStyle w:val="10"/>
        <w:widowControl w:val="0"/>
        <w:topLinePunct/>
        <w:snapToGrid w:val="0"/>
        <w:spacing w:before="0" w:beforeAutospacing="0" w:after="0" w:afterAutospacing="0" w:line="360" w:lineRule="auto"/>
        <w:ind w:firstLine="964" w:firstLineChars="300"/>
        <w:jc w:val="left"/>
        <w:rPr>
          <w:rFonts w:hint="default" w:ascii="Times New Roman" w:hAnsi="Times New Roman" w:eastAsia="宋体" w:cs="Times New Roman"/>
          <w:b/>
          <w:bCs w:val="0"/>
          <w:color w:val="auto"/>
          <w:kern w:val="2"/>
          <w:sz w:val="32"/>
          <w:szCs w:val="32"/>
          <w:highlight w:val="none"/>
          <w:u w:val="none"/>
          <w:lang w:eastAsia="zh-CN"/>
        </w:rPr>
      </w:pPr>
      <w:r>
        <w:rPr>
          <w:rFonts w:hint="default" w:ascii="Times New Roman" w:hAnsi="Times New Roman" w:eastAsia="宋体" w:cs="Times New Roman"/>
          <w:b/>
          <w:color w:val="auto"/>
          <w:kern w:val="2"/>
          <w:sz w:val="32"/>
          <w:szCs w:val="32"/>
          <w:highlight w:val="none"/>
        </w:rPr>
        <w:t>编制单位：</w:t>
      </w:r>
      <w:r>
        <w:rPr>
          <w:rFonts w:hint="eastAsia" w:ascii="Times New Roman" w:hAnsi="Times New Roman" w:cs="Times New Roman"/>
          <w:b/>
          <w:bCs w:val="0"/>
          <w:color w:val="auto"/>
          <w:kern w:val="2"/>
          <w:sz w:val="32"/>
          <w:szCs w:val="32"/>
          <w:highlight w:val="none"/>
          <w:u w:val="none"/>
          <w:lang w:eastAsia="zh-CN"/>
        </w:rPr>
        <w:t>河北靓源环保工程有限公司</w:t>
      </w:r>
    </w:p>
    <w:p>
      <w:pPr>
        <w:pStyle w:val="10"/>
        <w:widowControl w:val="0"/>
        <w:topLinePunct/>
        <w:snapToGrid w:val="0"/>
        <w:spacing w:before="0" w:beforeAutospacing="0" w:after="0" w:afterAutospacing="0" w:line="360" w:lineRule="auto"/>
        <w:ind w:firstLine="964" w:firstLineChars="300"/>
        <w:rPr>
          <w:rFonts w:ascii="Times New Roman" w:hAnsi="Times New Roman" w:cs="Times New Roman"/>
          <w:b/>
          <w:kern w:val="2"/>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851" w:footer="992" w:gutter="0"/>
          <w:pgNumType w:start="1"/>
          <w:cols w:space="720" w:num="1"/>
          <w:docGrid w:linePitch="312" w:charSpace="0"/>
        </w:sectPr>
      </w:pPr>
      <w:r>
        <w:rPr>
          <w:rFonts w:hint="default" w:ascii="Times New Roman" w:hAnsi="Times New Roman" w:eastAsia="宋体" w:cs="Times New Roman"/>
          <w:b/>
          <w:color w:val="auto"/>
          <w:kern w:val="2"/>
          <w:sz w:val="32"/>
          <w:szCs w:val="32"/>
          <w:highlight w:val="none"/>
        </w:rPr>
        <w:t>编制日期：</w:t>
      </w:r>
      <w:r>
        <w:rPr>
          <w:rFonts w:hint="default" w:ascii="Times New Roman" w:hAnsi="Times New Roman" w:eastAsia="宋体" w:cs="Times New Roman"/>
          <w:b/>
          <w:bCs w:val="0"/>
          <w:color w:val="auto"/>
          <w:kern w:val="2"/>
          <w:sz w:val="32"/>
          <w:szCs w:val="32"/>
          <w:highlight w:val="none"/>
        </w:rPr>
        <w:t>二</w:t>
      </w:r>
      <w:r>
        <w:rPr>
          <w:rFonts w:hint="default" w:ascii="Times New Roman" w:hAnsi="Times New Roman" w:eastAsia="宋体" w:cs="Times New Roman"/>
          <w:b/>
          <w:bCs w:val="0"/>
          <w:color w:val="auto"/>
          <w:kern w:val="2"/>
          <w:sz w:val="32"/>
          <w:szCs w:val="32"/>
          <w:highlight w:val="none"/>
          <w:lang w:val="en-US" w:eastAsia="zh-CN"/>
        </w:rPr>
        <w:t xml:space="preserve"> </w:t>
      </w:r>
      <w:r>
        <w:rPr>
          <w:rFonts w:hint="default" w:ascii="Times New Roman" w:hAnsi="Times New Roman" w:eastAsia="宋体" w:cs="Times New Roman"/>
          <w:b/>
          <w:bCs w:val="0"/>
          <w:color w:val="auto"/>
          <w:kern w:val="2"/>
          <w:sz w:val="32"/>
          <w:szCs w:val="32"/>
          <w:highlight w:val="none"/>
        </w:rPr>
        <w:t>〇</w:t>
      </w:r>
      <w:r>
        <w:rPr>
          <w:rFonts w:hint="default" w:ascii="Times New Roman" w:hAnsi="Times New Roman" w:eastAsia="宋体" w:cs="Times New Roman"/>
          <w:b/>
          <w:bCs w:val="0"/>
          <w:color w:val="auto"/>
          <w:kern w:val="2"/>
          <w:sz w:val="32"/>
          <w:szCs w:val="32"/>
          <w:highlight w:val="none"/>
          <w:lang w:val="en-US" w:eastAsia="zh-CN"/>
        </w:rPr>
        <w:t xml:space="preserve"> </w:t>
      </w:r>
      <w:r>
        <w:rPr>
          <w:rFonts w:hint="default" w:ascii="Times New Roman" w:hAnsi="Times New Roman" w:eastAsia="宋体" w:cs="Times New Roman"/>
          <w:b/>
          <w:bCs w:val="0"/>
          <w:color w:val="auto"/>
          <w:kern w:val="2"/>
          <w:sz w:val="32"/>
          <w:szCs w:val="32"/>
          <w:highlight w:val="none"/>
          <w:lang w:eastAsia="zh-CN"/>
        </w:rPr>
        <w:t>二</w:t>
      </w:r>
      <w:r>
        <w:rPr>
          <w:rFonts w:hint="default" w:ascii="Times New Roman" w:hAnsi="Times New Roman" w:eastAsia="宋体" w:cs="Times New Roman"/>
          <w:b/>
          <w:bCs w:val="0"/>
          <w:color w:val="auto"/>
          <w:kern w:val="2"/>
          <w:sz w:val="32"/>
          <w:szCs w:val="32"/>
          <w:highlight w:val="none"/>
          <w:lang w:val="en-US" w:eastAsia="zh-CN"/>
        </w:rPr>
        <w:t xml:space="preserve"> </w:t>
      </w:r>
      <w:r>
        <w:rPr>
          <w:rFonts w:hint="eastAsia" w:ascii="Times New Roman" w:hAnsi="Times New Roman" w:cs="Times New Roman"/>
          <w:b/>
          <w:bCs w:val="0"/>
          <w:color w:val="auto"/>
          <w:kern w:val="2"/>
          <w:sz w:val="32"/>
          <w:szCs w:val="32"/>
          <w:highlight w:val="none"/>
          <w:lang w:eastAsia="zh-CN"/>
        </w:rPr>
        <w:t>二</w:t>
      </w:r>
      <w:r>
        <w:rPr>
          <w:rFonts w:hint="default" w:ascii="Times New Roman" w:hAnsi="Times New Roman" w:eastAsia="宋体" w:cs="Times New Roman"/>
          <w:b/>
          <w:bCs w:val="0"/>
          <w:color w:val="auto"/>
          <w:kern w:val="2"/>
          <w:sz w:val="32"/>
          <w:szCs w:val="32"/>
          <w:highlight w:val="none"/>
          <w:lang w:val="en-US" w:eastAsia="zh-CN"/>
        </w:rPr>
        <w:t xml:space="preserve"> </w:t>
      </w:r>
      <w:r>
        <w:rPr>
          <w:rFonts w:hint="default" w:ascii="Times New Roman" w:hAnsi="Times New Roman" w:eastAsia="宋体" w:cs="Times New Roman"/>
          <w:b/>
          <w:bCs w:val="0"/>
          <w:color w:val="auto"/>
          <w:kern w:val="2"/>
          <w:sz w:val="32"/>
          <w:szCs w:val="32"/>
          <w:highlight w:val="none"/>
        </w:rPr>
        <w:t>年</w:t>
      </w:r>
      <w:r>
        <w:rPr>
          <w:rFonts w:hint="default" w:ascii="Times New Roman" w:hAnsi="Times New Roman" w:eastAsia="宋体" w:cs="Times New Roman"/>
          <w:b/>
          <w:bCs w:val="0"/>
          <w:color w:val="auto"/>
          <w:kern w:val="2"/>
          <w:sz w:val="32"/>
          <w:szCs w:val="32"/>
          <w:highlight w:val="none"/>
          <w:lang w:val="en-US" w:eastAsia="zh-CN"/>
        </w:rPr>
        <w:t xml:space="preserve"> </w:t>
      </w:r>
      <w:r>
        <w:rPr>
          <w:rFonts w:hint="eastAsia" w:ascii="Times New Roman" w:hAnsi="Times New Roman" w:cs="Times New Roman"/>
          <w:b/>
          <w:bCs w:val="0"/>
          <w:color w:val="auto"/>
          <w:kern w:val="2"/>
          <w:sz w:val="32"/>
          <w:szCs w:val="32"/>
          <w:highlight w:val="none"/>
          <w:lang w:eastAsia="zh-CN"/>
        </w:rPr>
        <w:t>六</w:t>
      </w:r>
      <w:r>
        <w:rPr>
          <w:rFonts w:hint="default" w:ascii="Times New Roman" w:hAnsi="Times New Roman" w:eastAsia="宋体" w:cs="Times New Roman"/>
          <w:b/>
          <w:bCs w:val="0"/>
          <w:color w:val="auto"/>
          <w:kern w:val="2"/>
          <w:sz w:val="32"/>
          <w:szCs w:val="32"/>
          <w:highlight w:val="none"/>
          <w:lang w:val="en-US" w:eastAsia="zh-CN"/>
        </w:rPr>
        <w:t xml:space="preserve"> </w:t>
      </w:r>
      <w:r>
        <w:rPr>
          <w:rFonts w:hint="default" w:ascii="Times New Roman" w:hAnsi="Times New Roman" w:eastAsia="宋体" w:cs="Times New Roman"/>
          <w:b/>
          <w:bCs w:val="0"/>
          <w:color w:val="auto"/>
          <w:kern w:val="2"/>
          <w:sz w:val="32"/>
          <w:szCs w:val="32"/>
          <w:highlight w:val="none"/>
        </w:rPr>
        <w:t>月</w:t>
      </w:r>
    </w:p>
    <w:p>
      <w:pPr>
        <w:pStyle w:val="4"/>
        <w:rPr>
          <w:rFonts w:hint="default" w:ascii="Times New Roman" w:hAnsi="Times New Roman" w:cs="Times New Roman"/>
          <w:highlight w:val="none"/>
        </w:rPr>
      </w:pPr>
      <w:r>
        <w:rPr>
          <w:rFonts w:hint="default" w:ascii="Times New Roman" w:hAnsi="Times New Roman" w:cs="Times New Roman"/>
          <w:highlight w:val="none"/>
        </w:rPr>
        <w:t>1 地块概况</w:t>
      </w:r>
    </w:p>
    <w:p>
      <w:pPr>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auto"/>
          <w:highlight w:val="none"/>
          <w:lang w:val="en-US" w:eastAsia="zh-CN"/>
        </w:rPr>
      </w:pPr>
      <w:bookmarkStart w:id="0" w:name="_Toc22861"/>
      <w:bookmarkStart w:id="1" w:name="_Toc27213"/>
      <w:bookmarkStart w:id="2" w:name="_Toc23724"/>
      <w:bookmarkStart w:id="3" w:name="_Toc18637"/>
      <w:bookmarkStart w:id="4" w:name="_Toc31532"/>
      <w:bookmarkStart w:id="5" w:name="_Toc18217"/>
      <w:bookmarkStart w:id="6" w:name="_Toc22904"/>
      <w:bookmarkStart w:id="7" w:name="_Toc31687"/>
      <w:r>
        <w:rPr>
          <w:rFonts w:hint="eastAsia" w:cs="Times New Roman"/>
          <w:color w:val="auto"/>
          <w:highlight w:val="none"/>
          <w:lang w:val="en-US" w:eastAsia="zh-CN"/>
        </w:rPr>
        <w:t>承德市鹰手营子矿区伟安小区二期地块</w:t>
      </w:r>
      <w:r>
        <w:rPr>
          <w:rFonts w:hint="default" w:ascii="Times New Roman" w:hAnsi="Times New Roman" w:eastAsia="宋体" w:cs="Times New Roman"/>
          <w:color w:val="auto"/>
          <w:highlight w:val="none"/>
        </w:rPr>
        <w:t>位于</w:t>
      </w:r>
      <w:r>
        <w:rPr>
          <w:rFonts w:hint="eastAsia" w:cs="Times New Roman"/>
          <w:color w:val="auto"/>
          <w:highlight w:val="none"/>
          <w:lang w:eastAsia="zh-CN"/>
        </w:rPr>
        <w:t>鹰手营子矿区鹰手营子镇喇嘛沟村</w:t>
      </w:r>
      <w:r>
        <w:rPr>
          <w:rFonts w:hint="default" w:ascii="Times New Roman" w:hAnsi="Times New Roman" w:eastAsia="宋体" w:cs="Times New Roman"/>
          <w:color w:val="auto"/>
          <w:highlight w:val="none"/>
          <w:lang w:eastAsia="zh-CN"/>
        </w:rPr>
        <w:t>，总</w:t>
      </w:r>
      <w:r>
        <w:rPr>
          <w:rFonts w:hint="default" w:ascii="Times New Roman" w:hAnsi="Times New Roman" w:eastAsia="宋体" w:cs="Times New Roman"/>
          <w:color w:val="auto"/>
          <w:highlight w:val="none"/>
          <w:lang w:val="en-US" w:eastAsia="zh-CN"/>
        </w:rPr>
        <w:t>占地</w:t>
      </w:r>
      <w:r>
        <w:rPr>
          <w:rFonts w:hint="default" w:ascii="Times New Roman" w:hAnsi="Times New Roman" w:eastAsia="宋体" w:cs="Times New Roman"/>
          <w:color w:val="auto"/>
          <w:highlight w:val="none"/>
        </w:rPr>
        <w:t>面积</w:t>
      </w:r>
      <w:r>
        <w:rPr>
          <w:rFonts w:hint="eastAsia" w:cs="Times New Roman"/>
          <w:color w:val="auto"/>
          <w:highlight w:val="none"/>
          <w:lang w:val="en-US" w:eastAsia="zh-CN"/>
        </w:rPr>
        <w:t>12826.96</w:t>
      </w:r>
      <w:r>
        <w:rPr>
          <w:rFonts w:hint="default" w:ascii="Times New Roman" w:hAnsi="Times New Roman" w:eastAsia="宋体" w:cs="Times New Roman"/>
          <w:color w:val="auto"/>
          <w:highlight w:val="none"/>
          <w:lang w:val="en-US" w:eastAsia="zh-CN"/>
        </w:rPr>
        <w:t>m</w:t>
      </w:r>
      <w:r>
        <w:rPr>
          <w:rFonts w:hint="default" w:ascii="Times New Roman" w:hAnsi="Times New Roman" w:eastAsia="宋体" w:cs="Times New Roman"/>
          <w:color w:val="auto"/>
          <w:highlight w:val="none"/>
          <w:vertAlign w:val="superscript"/>
          <w:lang w:val="en-US" w:eastAsia="zh-CN"/>
        </w:rPr>
        <w:t>2</w:t>
      </w:r>
      <w:r>
        <w:rPr>
          <w:rFonts w:hint="eastAsia" w:cs="Times New Roman"/>
          <w:color w:val="auto"/>
          <w:highlight w:val="none"/>
          <w:vertAlign w:val="baseline"/>
          <w:lang w:val="en-US" w:eastAsia="zh-CN"/>
        </w:rPr>
        <w:t>（19.24亩）</w:t>
      </w:r>
      <w:r>
        <w:rPr>
          <w:rFonts w:hint="default" w:ascii="Times New Roman" w:hAnsi="Times New Roman" w:eastAsia="宋体" w:cs="Times New Roman"/>
          <w:color w:val="auto"/>
          <w:highlight w:val="none"/>
          <w:lang w:eastAsia="zh-CN"/>
        </w:rPr>
        <w:t>。</w:t>
      </w:r>
      <w:r>
        <w:rPr>
          <w:rFonts w:hint="eastAsia" w:cs="Times New Roman"/>
          <w:color w:val="auto"/>
          <w:highlight w:val="none"/>
          <w:lang w:eastAsia="zh-CN"/>
        </w:rPr>
        <w:t>地块北部</w:t>
      </w:r>
      <w:r>
        <w:rPr>
          <w:rFonts w:hint="eastAsia" w:cs="Times New Roman"/>
          <w:color w:val="auto"/>
          <w:highlight w:val="none"/>
          <w:lang w:val="en-US" w:eastAsia="zh-CN"/>
        </w:rPr>
        <w:t>2013年之前一直为村庄，2013年之后为空地闲置至今；地块南部2016年之前一直为农用地，2016年收储</w:t>
      </w:r>
      <w:r>
        <w:rPr>
          <w:rFonts w:hint="default" w:ascii="Times New Roman" w:hAnsi="Times New Roman" w:eastAsia="宋体" w:cs="Times New Roman"/>
          <w:b w:val="0"/>
          <w:bCs w:val="0"/>
          <w:color w:val="auto"/>
          <w:sz w:val="24"/>
          <w:szCs w:val="24"/>
          <w:highlight w:val="none"/>
          <w:lang w:val="en-US" w:eastAsia="zh-CN"/>
        </w:rPr>
        <w:t>为建设用地</w:t>
      </w:r>
      <w:r>
        <w:rPr>
          <w:rFonts w:hint="eastAsia" w:cs="Times New Roman"/>
          <w:color w:val="auto"/>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目前为闲置荒地</w:t>
      </w:r>
      <w:r>
        <w:rPr>
          <w:rFonts w:hint="eastAsia"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历史上未进行过任何工业生产活动，未来用地性质规划为</w:t>
      </w:r>
      <w:r>
        <w:rPr>
          <w:rFonts w:hint="eastAsia" w:cs="Times New Roman"/>
          <w:b w:val="0"/>
          <w:bCs w:val="0"/>
          <w:color w:val="auto"/>
          <w:sz w:val="24"/>
          <w:szCs w:val="24"/>
          <w:highlight w:val="none"/>
          <w:lang w:val="en-US" w:eastAsia="zh-CN"/>
        </w:rPr>
        <w:t>居住用地</w:t>
      </w:r>
      <w:r>
        <w:rPr>
          <w:rFonts w:hint="default" w:ascii="Times New Roman" w:hAnsi="Times New Roman" w:eastAsia="宋体" w:cs="Times New Roman"/>
          <w:b w:val="0"/>
          <w:bCs w:val="0"/>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根据《中华人民共和国土壤污染防治法》第五十九条：用途变更为住宅、公共管理与公共服务用地的，变更前应当按照规定进行土壤污染状况调查。</w:t>
      </w:r>
      <w:r>
        <w:rPr>
          <w:rFonts w:hint="eastAsia" w:cs="Times New Roman"/>
          <w:b w:val="0"/>
          <w:bCs w:val="0"/>
          <w:color w:val="auto"/>
          <w:sz w:val="24"/>
          <w:szCs w:val="24"/>
          <w:highlight w:val="none"/>
          <w:lang w:val="en-US" w:eastAsia="zh-CN"/>
        </w:rPr>
        <w:t>承德市鹰手营子矿区伟安小区二期地块未来规划为居住用地</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b w:val="0"/>
          <w:bCs w:val="0"/>
          <w:color w:val="auto"/>
          <w:sz w:val="24"/>
          <w:szCs w:val="24"/>
          <w:highlight w:val="none"/>
          <w:lang w:val="en-US" w:eastAsia="zh-CN"/>
        </w:rPr>
        <w:t>依据相关法规要求，</w:t>
      </w:r>
      <w:r>
        <w:rPr>
          <w:rFonts w:hint="default" w:ascii="Times New Roman" w:hAnsi="Times New Roman" w:eastAsia="宋体" w:cs="Times New Roman"/>
          <w:color w:val="auto"/>
          <w:highlight w:val="none"/>
          <w:lang w:val="en-US" w:eastAsia="zh-CN"/>
        </w:rPr>
        <w:t>该地块在开发利用之前，</w:t>
      </w:r>
      <w:r>
        <w:rPr>
          <w:rFonts w:hint="default" w:ascii="Times New Roman" w:hAnsi="Times New Roman" w:eastAsia="宋体" w:cs="Times New Roman"/>
          <w:b w:val="0"/>
          <w:bCs w:val="0"/>
          <w:color w:val="auto"/>
          <w:sz w:val="24"/>
          <w:szCs w:val="24"/>
          <w:highlight w:val="none"/>
          <w:lang w:val="en-US" w:eastAsia="zh-CN"/>
        </w:rPr>
        <w:t>需要对其开展土壤污染状况调查工作，确保满足后续用地的要求</w:t>
      </w:r>
      <w:r>
        <w:rPr>
          <w:snapToGrid w:val="0"/>
          <w:szCs w:val="22"/>
          <w:highlight w:val="none"/>
        </w:rPr>
        <w:t>。</w:t>
      </w:r>
    </w:p>
    <w:p>
      <w:pPr>
        <w:pStyle w:val="4"/>
        <w:rPr>
          <w:rFonts w:hint="default" w:ascii="Times New Roman" w:hAnsi="Times New Roman" w:cs="Times New Roman"/>
          <w:highlight w:val="none"/>
        </w:rPr>
      </w:pPr>
      <w:r>
        <w:rPr>
          <w:rFonts w:hint="default" w:ascii="Times New Roman" w:hAnsi="Times New Roman" w:cs="Times New Roman"/>
          <w:highlight w:val="none"/>
        </w:rPr>
        <w:t>2 现场采样和检测</w:t>
      </w:r>
      <w:bookmarkEnd w:id="0"/>
      <w:bookmarkEnd w:id="1"/>
      <w:bookmarkEnd w:id="2"/>
      <w:bookmarkEnd w:id="3"/>
      <w:bookmarkEnd w:id="4"/>
      <w:bookmarkEnd w:id="5"/>
      <w:bookmarkEnd w:id="6"/>
      <w:bookmarkEnd w:id="7"/>
    </w:p>
    <w:p>
      <w:pPr>
        <w:adjustRightInd/>
        <w:snapToGrid/>
        <w:ind w:firstLine="480"/>
        <w:rPr>
          <w:rFonts w:hint="default" w:ascii="Times New Roman" w:hAnsi="Times New Roman" w:cs="Times New Roman"/>
          <w:color w:val="auto"/>
          <w:kern w:val="2"/>
        </w:rPr>
      </w:pPr>
      <w:r>
        <w:rPr>
          <w:rFonts w:hint="default" w:ascii="Times New Roman" w:hAnsi="Times New Roman" w:cs="Times New Roman"/>
        </w:rPr>
        <w:t>2</w:t>
      </w:r>
      <w:r>
        <w:rPr>
          <w:rFonts w:hint="default" w:ascii="Times New Roman" w:hAnsi="Times New Roman" w:cs="Times New Roman"/>
          <w:color w:val="auto"/>
          <w:kern w:val="2"/>
          <w:highlight w:val="none"/>
        </w:rPr>
        <w:t>本项目土壤质量状况调查阶段土壤及地下水的采样工作于202</w:t>
      </w:r>
      <w:r>
        <w:rPr>
          <w:rFonts w:hint="default" w:ascii="Times New Roman" w:hAnsi="Times New Roman" w:cs="Times New Roman"/>
          <w:color w:val="auto"/>
          <w:kern w:val="2"/>
          <w:highlight w:val="none"/>
          <w:lang w:val="en-US" w:eastAsia="zh-CN"/>
        </w:rPr>
        <w:t>2</w:t>
      </w:r>
      <w:r>
        <w:rPr>
          <w:rFonts w:hint="default" w:ascii="Times New Roman" w:hAnsi="Times New Roman" w:cs="Times New Roman"/>
          <w:color w:val="auto"/>
          <w:kern w:val="2"/>
          <w:highlight w:val="none"/>
        </w:rPr>
        <w:t>年</w:t>
      </w:r>
      <w:r>
        <w:rPr>
          <w:rFonts w:hint="eastAsia" w:cs="Times New Roman"/>
          <w:color w:val="auto"/>
          <w:kern w:val="2"/>
          <w:highlight w:val="none"/>
          <w:lang w:val="en-US" w:eastAsia="zh-CN"/>
        </w:rPr>
        <w:t>3</w:t>
      </w:r>
      <w:r>
        <w:rPr>
          <w:rFonts w:hint="default" w:ascii="Times New Roman" w:hAnsi="Times New Roman" w:cs="Times New Roman"/>
          <w:color w:val="auto"/>
          <w:kern w:val="2"/>
          <w:highlight w:val="none"/>
        </w:rPr>
        <w:t>月</w:t>
      </w:r>
      <w:r>
        <w:rPr>
          <w:rFonts w:hint="eastAsia" w:cs="Times New Roman"/>
          <w:color w:val="auto"/>
          <w:kern w:val="2"/>
          <w:highlight w:val="none"/>
          <w:lang w:val="en-US" w:eastAsia="zh-CN"/>
        </w:rPr>
        <w:t>1</w:t>
      </w:r>
      <w:r>
        <w:rPr>
          <w:rFonts w:hint="default" w:ascii="Times New Roman" w:hAnsi="Times New Roman" w:cs="Times New Roman"/>
          <w:color w:val="auto"/>
          <w:kern w:val="2"/>
          <w:highlight w:val="none"/>
        </w:rPr>
        <w:t>日~</w:t>
      </w:r>
      <w:r>
        <w:rPr>
          <w:rFonts w:hint="default" w:ascii="Times New Roman" w:hAnsi="Times New Roman" w:cs="Times New Roman"/>
          <w:color w:val="auto"/>
          <w:kern w:val="2"/>
          <w:highlight w:val="none"/>
          <w:lang w:val="en-US" w:eastAsia="zh-CN"/>
        </w:rPr>
        <w:t>3</w:t>
      </w:r>
      <w:r>
        <w:rPr>
          <w:rFonts w:hint="default" w:ascii="Times New Roman" w:hAnsi="Times New Roman" w:cs="Times New Roman"/>
          <w:color w:val="auto"/>
          <w:kern w:val="2"/>
          <w:highlight w:val="none"/>
        </w:rPr>
        <w:t>月</w:t>
      </w:r>
      <w:r>
        <w:rPr>
          <w:rFonts w:hint="eastAsia" w:cs="Times New Roman"/>
          <w:color w:val="auto"/>
          <w:kern w:val="2"/>
          <w:highlight w:val="none"/>
          <w:lang w:val="en-US" w:eastAsia="zh-CN"/>
        </w:rPr>
        <w:t>3</w:t>
      </w:r>
      <w:r>
        <w:rPr>
          <w:rFonts w:hint="default" w:ascii="Times New Roman" w:hAnsi="Times New Roman" w:cs="Times New Roman"/>
          <w:color w:val="auto"/>
          <w:kern w:val="2"/>
          <w:highlight w:val="none"/>
        </w:rPr>
        <w:t>日进行。</w:t>
      </w:r>
      <w:r>
        <w:rPr>
          <w:rFonts w:hint="default" w:ascii="Times New Roman" w:hAnsi="Times New Roman" w:cs="Times New Roman"/>
          <w:color w:val="auto"/>
          <w:kern w:val="2"/>
        </w:rPr>
        <w:t>现场共布设</w:t>
      </w:r>
      <w:r>
        <w:rPr>
          <w:rFonts w:hint="eastAsia" w:cs="Times New Roman"/>
          <w:color w:val="auto"/>
          <w:kern w:val="2"/>
          <w:lang w:val="en-US" w:eastAsia="zh-CN"/>
        </w:rPr>
        <w:t>8</w:t>
      </w:r>
      <w:r>
        <w:rPr>
          <w:rFonts w:hint="default" w:ascii="Times New Roman" w:hAnsi="Times New Roman" w:cs="Times New Roman"/>
          <w:color w:val="auto"/>
          <w:kern w:val="2"/>
        </w:rPr>
        <w:t>个土壤监测点位，现场采集</w:t>
      </w:r>
      <w:r>
        <w:rPr>
          <w:rFonts w:hint="eastAsia" w:cs="Times New Roman"/>
          <w:color w:val="auto"/>
          <w:kern w:val="2"/>
          <w:lang w:val="en-US" w:eastAsia="zh-CN"/>
        </w:rPr>
        <w:t>16</w:t>
      </w:r>
      <w:r>
        <w:rPr>
          <w:rFonts w:hint="default" w:ascii="Times New Roman" w:hAnsi="Times New Roman" w:cs="Times New Roman"/>
          <w:color w:val="auto"/>
          <w:kern w:val="2"/>
        </w:rPr>
        <w:t>组土壤样品，另采集</w:t>
      </w:r>
      <w:r>
        <w:rPr>
          <w:rFonts w:hint="eastAsia" w:cs="Times New Roman"/>
          <w:color w:val="auto"/>
          <w:kern w:val="2"/>
          <w:lang w:val="en-US" w:eastAsia="zh-CN"/>
        </w:rPr>
        <w:t>2组现场平行样品</w:t>
      </w:r>
      <w:r>
        <w:rPr>
          <w:rFonts w:hint="default" w:ascii="Times New Roman" w:hAnsi="Times New Roman" w:cs="Times New Roman"/>
          <w:color w:val="auto"/>
          <w:kern w:val="2"/>
        </w:rPr>
        <w:t>。现场共布设</w:t>
      </w:r>
      <w:r>
        <w:rPr>
          <w:rFonts w:hint="eastAsia" w:cs="Times New Roman"/>
          <w:color w:val="auto"/>
          <w:kern w:val="2"/>
          <w:lang w:val="en-US" w:eastAsia="zh-CN"/>
        </w:rPr>
        <w:t>2</w:t>
      </w:r>
      <w:r>
        <w:rPr>
          <w:rFonts w:hint="default" w:ascii="Times New Roman" w:hAnsi="Times New Roman" w:cs="Times New Roman"/>
          <w:color w:val="auto"/>
          <w:kern w:val="2"/>
        </w:rPr>
        <w:t>个地下水监测点位，现场采集</w:t>
      </w:r>
      <w:r>
        <w:rPr>
          <w:rFonts w:hint="eastAsia" w:cs="Times New Roman"/>
          <w:color w:val="auto"/>
          <w:kern w:val="2"/>
          <w:lang w:val="en-US" w:eastAsia="zh-CN"/>
        </w:rPr>
        <w:t>2</w:t>
      </w:r>
      <w:r>
        <w:rPr>
          <w:rFonts w:hint="default" w:ascii="Times New Roman" w:hAnsi="Times New Roman" w:cs="Times New Roman"/>
          <w:color w:val="auto"/>
          <w:kern w:val="2"/>
        </w:rPr>
        <w:t>组地下水样品，另有1组地下水现场平行样品。全部由河北百润环境检测技术有限公司实验室进行化验分析。</w:t>
      </w:r>
    </w:p>
    <w:p>
      <w:pPr>
        <w:ind w:firstLine="480"/>
        <w:jc w:val="both"/>
        <w:rPr>
          <w:rFonts w:hint="eastAsia" w:cs="Times New Roman"/>
          <w:color w:val="auto"/>
          <w:highlight w:val="none"/>
          <w:lang w:eastAsia="zh-CN"/>
        </w:rPr>
      </w:pPr>
      <w:r>
        <w:rPr>
          <w:rFonts w:hint="default" w:ascii="Times New Roman" w:hAnsi="Times New Roman" w:cs="Times New Roman"/>
          <w:color w:val="auto"/>
          <w:kern w:val="2"/>
        </w:rPr>
        <w:t>本项目调查采集的所有土壤及地下水样品全部委托经计量认证合格的河北百润环境检测技术有限公司进行检测分析，目前已提供了全部检测样品的检测报告及质控报告</w:t>
      </w:r>
      <w:r>
        <w:rPr>
          <w:rFonts w:hint="eastAsia" w:cs="Times New Roman"/>
          <w:color w:val="auto"/>
          <w:highlight w:val="none"/>
          <w:lang w:eastAsia="zh-CN"/>
        </w:rPr>
        <w:t>。</w:t>
      </w:r>
    </w:p>
    <w:p>
      <w:pPr>
        <w:pStyle w:val="4"/>
        <w:rPr>
          <w:rFonts w:hint="default" w:ascii="Times New Roman" w:hAnsi="Times New Roman" w:cs="Times New Roman"/>
          <w:highlight w:val="none"/>
        </w:rPr>
      </w:pPr>
      <w:bookmarkStart w:id="8" w:name="_Toc16732"/>
      <w:bookmarkStart w:id="9" w:name="_Toc21994"/>
      <w:bookmarkStart w:id="10" w:name="_Toc1129"/>
      <w:bookmarkStart w:id="11" w:name="_Toc24420"/>
      <w:bookmarkStart w:id="12" w:name="_Toc18873"/>
      <w:bookmarkStart w:id="13" w:name="_Toc10607"/>
      <w:bookmarkStart w:id="14" w:name="_Toc24959"/>
      <w:r>
        <w:rPr>
          <w:rFonts w:hint="default" w:ascii="Times New Roman" w:hAnsi="Times New Roman" w:cs="Times New Roman"/>
          <w:highlight w:val="none"/>
        </w:rPr>
        <w:t>3 检测结果分析</w:t>
      </w:r>
      <w:bookmarkEnd w:id="8"/>
      <w:bookmarkEnd w:id="9"/>
      <w:bookmarkEnd w:id="10"/>
      <w:bookmarkEnd w:id="11"/>
      <w:bookmarkEnd w:id="12"/>
      <w:bookmarkEnd w:id="13"/>
      <w:bookmarkEnd w:id="14"/>
    </w:p>
    <w:p>
      <w:pPr>
        <w:keepNext w:val="0"/>
        <w:keepLines w:val="0"/>
        <w:pageBreakBefore w:val="0"/>
        <w:widowControl w:val="0"/>
        <w:kinsoku/>
        <w:wordWrap/>
        <w:overflowPunct/>
        <w:topLinePunct w:val="0"/>
        <w:autoSpaceDE w:val="0"/>
        <w:autoSpaceDN w:val="0"/>
        <w:bidi w:val="0"/>
        <w:adjustRightInd/>
        <w:snapToGrid/>
        <w:spacing w:before="0" w:after="0" w:line="520" w:lineRule="exact"/>
        <w:ind w:right="0" w:firstLine="480" w:firstLineChars="200"/>
        <w:jc w:val="both"/>
        <w:textAlignment w:val="auto"/>
        <w:rPr>
          <w:rFonts w:hint="default" w:ascii="Times New Roman" w:hAnsi="Times New Roman" w:cs="Times New Roman"/>
          <w:b w:val="0"/>
          <w:bCs w:val="0"/>
          <w:color w:val="auto"/>
          <w:kern w:val="2"/>
          <w:highlight w:val="none"/>
        </w:rPr>
      </w:pPr>
      <w:bookmarkStart w:id="15" w:name="_Toc27064"/>
      <w:bookmarkStart w:id="16" w:name="_Toc15050"/>
      <w:bookmarkStart w:id="17" w:name="_Toc6316"/>
      <w:bookmarkStart w:id="18" w:name="_Toc26351"/>
      <w:bookmarkStart w:id="19" w:name="_Toc16526"/>
      <w:bookmarkStart w:id="20" w:name="_Toc1746"/>
      <w:bookmarkStart w:id="21" w:name="_Toc10124"/>
      <w:bookmarkStart w:id="22" w:name="_Toc21868"/>
      <w:r>
        <w:rPr>
          <w:rFonts w:hint="default" w:ascii="Times New Roman" w:hAnsi="Times New Roman" w:cs="Times New Roman"/>
          <w:b w:val="0"/>
          <w:bCs w:val="0"/>
          <w:color w:val="auto"/>
          <w:kern w:val="2"/>
          <w:highlight w:val="none"/>
        </w:rPr>
        <w:t>根据</w:t>
      </w:r>
      <w:r>
        <w:rPr>
          <w:rFonts w:hint="eastAsia" w:ascii="Times New Roman" w:hAnsi="Times New Roman" w:cs="Times New Roman"/>
          <w:b w:val="0"/>
          <w:bCs w:val="0"/>
          <w:color w:val="auto"/>
          <w:kern w:val="2"/>
          <w:highlight w:val="none"/>
          <w:lang w:eastAsia="zh-CN"/>
        </w:rPr>
        <w:t>土壤</w:t>
      </w:r>
      <w:r>
        <w:rPr>
          <w:rFonts w:hint="default" w:ascii="Times New Roman" w:hAnsi="Times New Roman" w:cs="Times New Roman"/>
          <w:b w:val="0"/>
          <w:bCs w:val="0"/>
          <w:color w:val="auto"/>
          <w:kern w:val="2"/>
          <w:highlight w:val="none"/>
        </w:rPr>
        <w:t>检测结果，</w:t>
      </w:r>
      <w:r>
        <w:rPr>
          <w:rFonts w:hint="eastAsia" w:ascii="Times New Roman" w:hAnsi="Times New Roman" w:cs="Times New Roman"/>
          <w:b w:val="0"/>
          <w:bCs w:val="0"/>
          <w:color w:val="auto"/>
          <w:kern w:val="2"/>
          <w:highlight w:val="none"/>
          <w:lang w:eastAsia="zh-CN"/>
        </w:rPr>
        <w:t>本项目</w:t>
      </w:r>
      <w:r>
        <w:rPr>
          <w:rFonts w:hint="eastAsia" w:ascii="Times New Roman" w:hAnsi="Times New Roman" w:eastAsia="宋体"/>
          <w:color w:val="auto"/>
          <w:lang w:val="en-US" w:eastAsia="zh-CN"/>
        </w:rPr>
        <w:t>测试重金属</w:t>
      </w:r>
      <w:r>
        <w:rPr>
          <w:rFonts w:hint="eastAsia" w:ascii="Times New Roman" w:hAnsi="Times New Roman" w:eastAsia="宋体"/>
          <w:color w:val="auto"/>
        </w:rPr>
        <w:t>（</w:t>
      </w:r>
      <w:r>
        <w:rPr>
          <w:rFonts w:ascii="Times New Roman" w:hAnsi="Times New Roman" w:eastAsia="宋体"/>
          <w:color w:val="auto"/>
        </w:rPr>
        <w:t>镍</w:t>
      </w:r>
      <w:r>
        <w:rPr>
          <w:rFonts w:hint="eastAsia" w:ascii="Times New Roman" w:hAnsi="Times New Roman" w:eastAsia="宋体"/>
          <w:color w:val="auto"/>
        </w:rPr>
        <w:t>、</w:t>
      </w:r>
      <w:r>
        <w:rPr>
          <w:rFonts w:ascii="Times New Roman" w:hAnsi="Times New Roman" w:eastAsia="宋体"/>
          <w:color w:val="auto"/>
        </w:rPr>
        <w:t>铜</w:t>
      </w:r>
      <w:r>
        <w:rPr>
          <w:rFonts w:hint="eastAsia" w:ascii="Times New Roman" w:hAnsi="Times New Roman" w:eastAsia="宋体"/>
          <w:color w:val="auto"/>
        </w:rPr>
        <w:t>、</w:t>
      </w:r>
      <w:r>
        <w:rPr>
          <w:rFonts w:ascii="Times New Roman" w:hAnsi="Times New Roman" w:eastAsia="宋体"/>
          <w:color w:val="auto"/>
        </w:rPr>
        <w:t>镉</w:t>
      </w:r>
      <w:r>
        <w:rPr>
          <w:rFonts w:hint="eastAsia" w:ascii="Times New Roman" w:hAnsi="Times New Roman" w:eastAsia="宋体"/>
          <w:color w:val="auto"/>
        </w:rPr>
        <w:t>、</w:t>
      </w:r>
      <w:r>
        <w:rPr>
          <w:rFonts w:ascii="Times New Roman" w:hAnsi="Times New Roman" w:eastAsia="宋体"/>
          <w:color w:val="auto"/>
        </w:rPr>
        <w:t>铅</w:t>
      </w:r>
      <w:r>
        <w:rPr>
          <w:rFonts w:hint="eastAsia" w:ascii="Times New Roman" w:hAnsi="Times New Roman" w:eastAsia="宋体"/>
          <w:color w:val="auto"/>
        </w:rPr>
        <w:t>、</w:t>
      </w:r>
      <w:r>
        <w:rPr>
          <w:rFonts w:ascii="Times New Roman" w:hAnsi="Times New Roman" w:eastAsia="宋体"/>
          <w:color w:val="auto"/>
        </w:rPr>
        <w:t>汞</w:t>
      </w:r>
      <w:r>
        <w:rPr>
          <w:rFonts w:hint="eastAsia" w:ascii="Times New Roman" w:hAnsi="Times New Roman" w:eastAsia="宋体"/>
          <w:color w:val="auto"/>
        </w:rPr>
        <w:t>、</w:t>
      </w:r>
      <w:r>
        <w:rPr>
          <w:rFonts w:ascii="Times New Roman" w:hAnsi="Times New Roman" w:eastAsia="宋体"/>
          <w:color w:val="auto"/>
        </w:rPr>
        <w:t>砷</w:t>
      </w:r>
      <w:r>
        <w:rPr>
          <w:rFonts w:hint="eastAsia" w:ascii="Times New Roman" w:hAnsi="Times New Roman" w:eastAsia="宋体"/>
          <w:color w:val="auto"/>
        </w:rPr>
        <w:t>）</w:t>
      </w:r>
      <w:r>
        <w:rPr>
          <w:rFonts w:hint="eastAsia" w:ascii="Times New Roman" w:hAnsi="Times New Roman" w:eastAsia="宋体"/>
          <w:color w:val="auto"/>
          <w:lang w:eastAsia="zh-CN"/>
        </w:rPr>
        <w:t>的</w:t>
      </w:r>
      <w:r>
        <w:rPr>
          <w:rFonts w:hint="eastAsia" w:ascii="Times New Roman" w:hAnsi="Times New Roman" w:eastAsia="宋体"/>
          <w:color w:val="auto"/>
          <w:lang w:val="en-US" w:eastAsia="zh-CN"/>
        </w:rPr>
        <w:t>16组土壤样品</w:t>
      </w:r>
      <w:r>
        <w:rPr>
          <w:rFonts w:hint="eastAsia"/>
          <w:color w:val="auto"/>
          <w:lang w:eastAsia="zh-CN"/>
        </w:rPr>
        <w:t>均</w:t>
      </w:r>
      <w:r>
        <w:rPr>
          <w:rFonts w:hint="eastAsia" w:ascii="Times New Roman" w:hAnsi="Times New Roman" w:eastAsia="宋体"/>
          <w:color w:val="auto"/>
          <w:lang w:eastAsia="zh-CN"/>
        </w:rPr>
        <w:t>有检出</w:t>
      </w:r>
      <w:r>
        <w:rPr>
          <w:rFonts w:hint="default" w:ascii="Times New Roman" w:hAnsi="Times New Roman" w:cs="Times New Roman"/>
          <w:color w:val="auto"/>
          <w:kern w:val="2"/>
        </w:rPr>
        <w:t>，但各检出因子的最大浓度均未超过</w:t>
      </w:r>
      <w:r>
        <w:rPr>
          <w:rFonts w:hint="default" w:ascii="Times New Roman" w:hAnsi="Times New Roman" w:eastAsia="宋体" w:cs="Times New Roman"/>
          <w:color w:val="auto"/>
          <w:sz w:val="24"/>
          <w:szCs w:val="24"/>
          <w:highlight w:val="none"/>
          <w:lang w:val="en-US" w:eastAsia="en-US" w:bidi="ar-SA"/>
        </w:rPr>
        <w:t>《土壤环境质量 建设用地土壤污染风险管控标准（试行）》（GB 36600-2018）中</w:t>
      </w:r>
      <w:r>
        <w:rPr>
          <w:rFonts w:hint="default" w:ascii="Times New Roman" w:hAnsi="Times New Roman" w:cs="Times New Roman"/>
          <w:color w:val="auto"/>
          <w:sz w:val="24"/>
          <w:szCs w:val="24"/>
          <w:highlight w:val="none"/>
          <w:lang w:val="en-US" w:eastAsia="zh-CN" w:bidi="ar-SA"/>
        </w:rPr>
        <w:t>第</w:t>
      </w:r>
      <w:r>
        <w:rPr>
          <w:rFonts w:hint="eastAsia" w:ascii="Times New Roman" w:hAnsi="Times New Roman" w:cs="Times New Roman"/>
          <w:color w:val="auto"/>
          <w:sz w:val="24"/>
          <w:szCs w:val="24"/>
          <w:highlight w:val="none"/>
          <w:lang w:val="en-US" w:eastAsia="zh-CN" w:bidi="ar-SA"/>
        </w:rPr>
        <w:t>一</w:t>
      </w:r>
      <w:r>
        <w:rPr>
          <w:rFonts w:hint="default" w:ascii="Times New Roman" w:hAnsi="Times New Roman" w:cs="Times New Roman"/>
          <w:color w:val="auto"/>
          <w:sz w:val="24"/>
          <w:szCs w:val="24"/>
          <w:highlight w:val="none"/>
          <w:lang w:val="en-US" w:eastAsia="zh-CN" w:bidi="ar-SA"/>
        </w:rPr>
        <w:t>类</w:t>
      </w:r>
      <w:r>
        <w:rPr>
          <w:rFonts w:hint="default" w:ascii="Times New Roman" w:hAnsi="Times New Roman" w:eastAsia="宋体" w:cs="Times New Roman"/>
          <w:color w:val="auto"/>
          <w:sz w:val="24"/>
          <w:szCs w:val="24"/>
          <w:highlight w:val="none"/>
          <w:lang w:val="en-US" w:eastAsia="en-US" w:bidi="ar-SA"/>
        </w:rPr>
        <w:t>用地相应筛选值</w:t>
      </w:r>
      <w:r>
        <w:rPr>
          <w:rFonts w:hint="eastAsia" w:cs="Times New Roman"/>
          <w:color w:val="auto"/>
          <w:kern w:val="2"/>
          <w:lang w:eastAsia="zh-CN"/>
        </w:rPr>
        <w:t>；</w:t>
      </w:r>
      <w:r>
        <w:rPr>
          <w:rFonts w:hint="default" w:ascii="Times New Roman" w:hAnsi="Times New Roman" w:cs="Times New Roman"/>
          <w:color w:val="auto"/>
          <w:kern w:val="2"/>
        </w:rPr>
        <w:t>所有土壤样品测定的六价铬</w:t>
      </w:r>
      <w:r>
        <w:rPr>
          <w:rFonts w:hint="eastAsia" w:cs="Times New Roman"/>
          <w:color w:val="auto"/>
          <w:kern w:val="2"/>
          <w:lang w:eastAsia="zh-CN"/>
        </w:rPr>
        <w:t>、</w:t>
      </w:r>
      <w:r>
        <w:rPr>
          <w:rFonts w:hint="default" w:ascii="Times New Roman" w:hAnsi="Times New Roman" w:cs="Times New Roman"/>
          <w:color w:val="auto"/>
          <w:kern w:val="2"/>
        </w:rPr>
        <w:t>VOCs，均未检出。</w:t>
      </w:r>
      <w:r>
        <w:rPr>
          <w:rFonts w:hint="eastAsia" w:cs="Times New Roman"/>
          <w:color w:val="auto"/>
          <w:kern w:val="2"/>
          <w:lang w:eastAsia="zh-CN"/>
        </w:rPr>
        <w:t>在</w:t>
      </w:r>
      <w:r>
        <w:rPr>
          <w:rFonts w:hint="eastAsia" w:cs="Times New Roman"/>
          <w:color w:val="auto"/>
          <w:kern w:val="2"/>
          <w:lang w:val="en-US" w:eastAsia="zh-CN"/>
        </w:rPr>
        <w:t>16组</w:t>
      </w:r>
      <w:r>
        <w:rPr>
          <w:rFonts w:hint="eastAsia" w:cs="Times New Roman"/>
          <w:color w:val="auto"/>
          <w:kern w:val="2"/>
          <w:lang w:eastAsia="zh-CN"/>
        </w:rPr>
        <w:t>测试</w:t>
      </w:r>
      <w:r>
        <w:rPr>
          <w:rFonts w:hint="eastAsia" w:cs="Times New Roman"/>
          <w:color w:val="auto"/>
          <w:kern w:val="2"/>
          <w:lang w:val="en-US" w:eastAsia="zh-CN"/>
        </w:rPr>
        <w:t>SVOCs</w:t>
      </w:r>
      <w:r>
        <w:rPr>
          <w:rFonts w:hint="eastAsia" w:cs="Times New Roman"/>
          <w:color w:val="auto"/>
          <w:kern w:val="2"/>
          <w:lang w:eastAsia="zh-CN"/>
        </w:rPr>
        <w:t>的</w:t>
      </w:r>
      <w:r>
        <w:rPr>
          <w:rFonts w:hint="default" w:ascii="Times New Roman" w:hAnsi="Times New Roman" w:cs="Times New Roman"/>
          <w:color w:val="auto"/>
          <w:kern w:val="2"/>
        </w:rPr>
        <w:t>土壤样品</w:t>
      </w:r>
      <w:r>
        <w:rPr>
          <w:rFonts w:hint="default" w:ascii="Times New Roman" w:hAnsi="Times New Roman" w:cs="Times New Roman"/>
          <w:color w:val="auto"/>
          <w:kern w:val="2"/>
          <w:lang w:eastAsia="zh-CN"/>
        </w:rPr>
        <w:t>中</w:t>
      </w:r>
      <w:r>
        <w:rPr>
          <w:rFonts w:hint="eastAsia" w:cs="Times New Roman"/>
          <w:color w:val="auto"/>
          <w:kern w:val="2"/>
          <w:lang w:val="en-US" w:eastAsia="zh-CN"/>
        </w:rPr>
        <w:t>，部分样品的多环芳烃有检出，检出因子包括：</w:t>
      </w:r>
      <w:r>
        <w:rPr>
          <w:rFonts w:hint="default" w:ascii="Times New Roman" w:hAnsi="Times New Roman" w:cs="Times New Roman"/>
          <w:color w:val="auto"/>
          <w:kern w:val="2"/>
          <w:lang w:eastAsia="zh-CN"/>
        </w:rPr>
        <w:t>苯并[a]蒽、苯并[a]芘、苯并[b]荧蒽、苯并[k]荧蒽、䓛、茚并[1,2,3-cd]芘，苯并[a]蒽、苯并[a]芘</w:t>
      </w:r>
      <w:r>
        <w:rPr>
          <w:rFonts w:hint="eastAsia" w:cs="Times New Roman"/>
          <w:color w:val="auto"/>
          <w:kern w:val="2"/>
          <w:lang w:eastAsia="zh-CN"/>
        </w:rPr>
        <w:t>，地块内</w:t>
      </w:r>
      <w:r>
        <w:rPr>
          <w:rFonts w:hint="default" w:ascii="Times New Roman" w:hAnsi="Times New Roman" w:cs="Times New Roman"/>
          <w:color w:val="auto"/>
          <w:kern w:val="2"/>
          <w:lang w:eastAsia="zh-CN"/>
        </w:rPr>
        <w:t>苯并[a]蒽等</w:t>
      </w:r>
      <w:r>
        <w:rPr>
          <w:rFonts w:hint="eastAsia" w:ascii="Times New Roman" w:hAnsi="Times New Roman" w:cs="Times New Roman"/>
          <w:color w:val="auto"/>
          <w:kern w:val="2"/>
          <w:lang w:val="en-US" w:eastAsia="zh-CN"/>
        </w:rPr>
        <w:t>多环芳烃</w:t>
      </w:r>
      <w:r>
        <w:rPr>
          <w:rFonts w:hint="default" w:ascii="Times New Roman" w:hAnsi="Times New Roman" w:cs="Times New Roman"/>
          <w:color w:val="auto"/>
          <w:kern w:val="2"/>
        </w:rPr>
        <w:t>有检出可能是由于</w:t>
      </w:r>
      <w:r>
        <w:rPr>
          <w:rFonts w:hint="eastAsia" w:cs="Times New Roman"/>
          <w:color w:val="auto"/>
          <w:highlight w:val="none"/>
          <w:lang w:eastAsia="zh-CN"/>
        </w:rPr>
        <w:t>周边原</w:t>
      </w:r>
      <w:r>
        <w:rPr>
          <w:rFonts w:hint="eastAsia" w:ascii="Times New Roman" w:hAnsi="Times New Roman" w:cs="Times New Roman"/>
          <w:color w:val="auto"/>
          <w:highlight w:val="none"/>
          <w:lang w:eastAsia="zh-CN"/>
        </w:rPr>
        <w:t>水泥厂</w:t>
      </w:r>
      <w:r>
        <w:rPr>
          <w:rFonts w:hint="eastAsia" w:cs="Times New Roman"/>
          <w:color w:val="auto"/>
          <w:highlight w:val="none"/>
          <w:lang w:eastAsia="zh-CN"/>
        </w:rPr>
        <w:t>和鑫坤商砼产生的粉尘和烟尘</w:t>
      </w:r>
      <w:r>
        <w:rPr>
          <w:rFonts w:hint="default" w:ascii="Times New Roman" w:hAnsi="Times New Roman" w:cs="Times New Roman"/>
          <w:color w:val="auto"/>
          <w:highlight w:val="none"/>
          <w:lang w:eastAsia="zh-CN"/>
        </w:rPr>
        <w:t>经大气沉降</w:t>
      </w:r>
      <w:r>
        <w:rPr>
          <w:rFonts w:hint="default" w:ascii="Times New Roman" w:hAnsi="Times New Roman" w:cs="Times New Roman"/>
          <w:color w:val="auto"/>
          <w:kern w:val="2"/>
          <w:lang w:eastAsia="zh-CN"/>
        </w:rPr>
        <w:t>所致</w:t>
      </w:r>
      <w:r>
        <w:rPr>
          <w:rFonts w:hint="eastAsia" w:cs="Times New Roman"/>
          <w:color w:val="auto"/>
          <w:kern w:val="2"/>
          <w:lang w:eastAsia="zh-CN"/>
        </w:rPr>
        <w:t>，</w:t>
      </w:r>
      <w:r>
        <w:rPr>
          <w:rFonts w:hint="default" w:ascii="Times New Roman" w:hAnsi="Times New Roman" w:cs="Times New Roman"/>
          <w:color w:val="auto"/>
          <w:kern w:val="2"/>
          <w:lang w:eastAsia="zh-CN"/>
        </w:rPr>
        <w:t>各因子检出浓度均低于《土壤环境质量 建设用地土壤污染风险管控标准（试行）》（GB 36600-2018）中第</w:t>
      </w:r>
      <w:r>
        <w:rPr>
          <w:rFonts w:hint="eastAsia" w:cs="Times New Roman"/>
          <w:color w:val="auto"/>
          <w:kern w:val="2"/>
          <w:lang w:eastAsia="zh-CN"/>
        </w:rPr>
        <w:t>一</w:t>
      </w:r>
      <w:r>
        <w:rPr>
          <w:rFonts w:hint="default" w:ascii="Times New Roman" w:hAnsi="Times New Roman" w:cs="Times New Roman"/>
          <w:color w:val="auto"/>
          <w:kern w:val="2"/>
          <w:lang w:eastAsia="zh-CN"/>
        </w:rPr>
        <w:t>类用地标准</w:t>
      </w:r>
      <w:r>
        <w:rPr>
          <w:rFonts w:hint="eastAsia" w:cs="Times New Roman"/>
          <w:color w:val="auto"/>
          <w:kern w:val="2"/>
          <w:lang w:eastAsia="zh-CN"/>
        </w:rPr>
        <w:t>，</w:t>
      </w:r>
      <w:r>
        <w:rPr>
          <w:rFonts w:hint="default" w:ascii="Times New Roman" w:hAnsi="Times New Roman" w:cs="Times New Roman"/>
          <w:color w:val="auto"/>
          <w:kern w:val="2"/>
          <w:lang w:eastAsia="zh-CN"/>
        </w:rPr>
        <w:t>其余</w:t>
      </w:r>
      <w:r>
        <w:rPr>
          <w:rFonts w:hint="default" w:ascii="Times New Roman" w:hAnsi="Times New Roman" w:cs="Times New Roman"/>
          <w:color w:val="auto"/>
          <w:kern w:val="2"/>
          <w:lang w:val="en-US" w:eastAsia="zh-CN"/>
        </w:rPr>
        <w:t>SVOCs</w:t>
      </w:r>
      <w:r>
        <w:rPr>
          <w:rFonts w:hint="default" w:ascii="Times New Roman" w:hAnsi="Times New Roman" w:cs="Times New Roman"/>
          <w:color w:val="auto"/>
          <w:kern w:val="2"/>
        </w:rPr>
        <w:t>均未检出。</w:t>
      </w:r>
      <w:r>
        <w:rPr>
          <w:rFonts w:hint="eastAsia" w:ascii="Times New Roman" w:hAnsi="Times New Roman" w:eastAsia="宋体"/>
          <w:color w:val="auto"/>
          <w:lang w:val="en-US" w:eastAsia="zh-CN"/>
        </w:rPr>
        <w:t>测试</w:t>
      </w:r>
      <w:r>
        <w:rPr>
          <w:rFonts w:hint="default" w:ascii="Times New Roman" w:hAnsi="Times New Roman" w:cs="Times New Roman"/>
          <w:color w:val="auto"/>
          <w:kern w:val="2"/>
        </w:rPr>
        <w:t>氟化物</w:t>
      </w:r>
      <w:r>
        <w:rPr>
          <w:rFonts w:hint="eastAsia" w:ascii="Times New Roman" w:hAnsi="Times New Roman" w:eastAsia="宋体"/>
          <w:color w:val="auto"/>
          <w:lang w:val="en-US" w:eastAsia="zh-CN"/>
        </w:rPr>
        <w:t>的8组土壤样品</w:t>
      </w:r>
      <w:r>
        <w:rPr>
          <w:rFonts w:hint="default" w:ascii="Times New Roman" w:hAnsi="Times New Roman" w:cs="Times New Roman"/>
          <w:color w:val="auto"/>
          <w:kern w:val="2"/>
        </w:rPr>
        <w:t>均有检出</w:t>
      </w:r>
      <w:r>
        <w:rPr>
          <w:rFonts w:hint="default" w:ascii="Times New Roman" w:hAnsi="Times New Roman" w:cs="Times New Roman"/>
          <w:color w:val="auto"/>
          <w:kern w:val="2"/>
          <w:lang w:eastAsia="zh-CN"/>
        </w:rPr>
        <w:t>，</w:t>
      </w:r>
      <w:r>
        <w:rPr>
          <w:rFonts w:hint="default" w:ascii="Times New Roman" w:hAnsi="Times New Roman" w:cs="Times New Roman"/>
          <w:color w:val="auto"/>
          <w:kern w:val="2"/>
        </w:rPr>
        <w:t>但最大浓度未超过</w:t>
      </w:r>
      <w:r>
        <w:rPr>
          <w:rFonts w:hint="default" w:ascii="Times New Roman" w:hAnsi="Times New Roman" w:cs="Times New Roman"/>
          <w:color w:val="auto"/>
          <w:kern w:val="2"/>
          <w:lang w:eastAsia="zh-CN"/>
        </w:rPr>
        <w:t>《建设用地土壤污染风险筛选值》（DB13/T5216-2020）中第</w:t>
      </w:r>
      <w:r>
        <w:rPr>
          <w:rFonts w:hint="eastAsia" w:cs="Times New Roman"/>
          <w:color w:val="auto"/>
          <w:kern w:val="2"/>
          <w:lang w:eastAsia="zh-CN"/>
        </w:rPr>
        <w:t>一</w:t>
      </w:r>
      <w:r>
        <w:rPr>
          <w:rFonts w:hint="default" w:ascii="Times New Roman" w:hAnsi="Times New Roman" w:cs="Times New Roman"/>
          <w:color w:val="auto"/>
          <w:kern w:val="2"/>
          <w:lang w:eastAsia="zh-CN"/>
        </w:rPr>
        <w:t>类用地标准</w:t>
      </w:r>
      <w:r>
        <w:rPr>
          <w:rFonts w:hint="default" w:ascii="Times New Roman" w:hAnsi="Times New Roman" w:cs="Times New Roman"/>
          <w:color w:val="auto"/>
          <w:kern w:val="2"/>
        </w:rPr>
        <w:t>。</w:t>
      </w:r>
      <w:r>
        <w:rPr>
          <w:rFonts w:hint="eastAsia" w:ascii="Times New Roman" w:hAnsi="Times New Roman" w:eastAsia="宋体"/>
          <w:color w:val="auto"/>
          <w:lang w:val="en-US" w:eastAsia="zh-CN"/>
        </w:rPr>
        <w:t>在</w:t>
      </w:r>
      <w:r>
        <w:rPr>
          <w:rFonts w:hint="eastAsia" w:ascii="Times New Roman" w:hAnsi="Times New Roman" w:cs="Times New Roman"/>
          <w:color w:val="auto"/>
          <w:kern w:val="2"/>
          <w:lang w:val="en-US" w:eastAsia="zh-CN"/>
        </w:rPr>
        <w:t>6</w:t>
      </w:r>
      <w:r>
        <w:rPr>
          <w:rFonts w:hint="eastAsia" w:cs="Times New Roman"/>
          <w:color w:val="auto"/>
          <w:kern w:val="2"/>
          <w:lang w:val="en-US" w:eastAsia="zh-CN"/>
        </w:rPr>
        <w:t>组测试</w:t>
      </w:r>
      <w:r>
        <w:rPr>
          <w:rFonts w:hint="default" w:ascii="Times New Roman" w:hAnsi="Times New Roman" w:eastAsia="宋体" w:cs="Times New Roman"/>
          <w:color w:val="auto"/>
          <w:highlight w:val="none"/>
          <w:lang w:val="en-US" w:eastAsia="zh-CN"/>
        </w:rPr>
        <w:t>六六六、滴滴涕</w:t>
      </w:r>
      <w:r>
        <w:rPr>
          <w:rFonts w:hint="eastAsia" w:cs="Times New Roman"/>
          <w:color w:val="auto"/>
          <w:highlight w:val="none"/>
          <w:lang w:val="en-US" w:eastAsia="zh-CN"/>
        </w:rPr>
        <w:t>的</w:t>
      </w:r>
      <w:r>
        <w:rPr>
          <w:rFonts w:hint="default" w:ascii="Times New Roman" w:hAnsi="Times New Roman" w:eastAsia="宋体" w:cs="Times New Roman"/>
          <w:color w:val="auto"/>
          <w:highlight w:val="none"/>
        </w:rPr>
        <w:t>土壤样品</w:t>
      </w:r>
      <w:r>
        <w:rPr>
          <w:rFonts w:hint="eastAsia" w:ascii="Times New Roman" w:hAnsi="Times New Roman" w:eastAsia="宋体" w:cs="Times New Roman"/>
          <w:color w:val="auto"/>
          <w:highlight w:val="none"/>
          <w:lang w:eastAsia="zh-CN"/>
        </w:rPr>
        <w:t>中，</w:t>
      </w:r>
      <w:r>
        <w:rPr>
          <w:rFonts w:hint="default" w:ascii="Times New Roman" w:hAnsi="Times New Roman" w:cs="Times New Roman"/>
          <w:color w:val="auto"/>
          <w:kern w:val="2"/>
          <w:lang w:eastAsia="zh-CN"/>
        </w:rPr>
        <w:t>部分点位有检出</w:t>
      </w:r>
      <w:r>
        <w:rPr>
          <w:rFonts w:hint="eastAsia" w:ascii="Times New Roman" w:hAnsi="Times New Roman" w:eastAsia="宋体" w:cs="Times New Roman"/>
          <w:color w:val="auto"/>
          <w:highlight w:val="none"/>
          <w:lang w:eastAsia="zh-CN"/>
        </w:rPr>
        <w:t>，</w:t>
      </w:r>
      <w:r>
        <w:rPr>
          <w:rFonts w:hint="default" w:ascii="Times New Roman" w:hAnsi="Times New Roman" w:cs="Times New Roman"/>
          <w:color w:val="auto"/>
          <w:kern w:val="2"/>
          <w:lang w:eastAsia="zh-CN"/>
        </w:rPr>
        <w:t>分析认为</w:t>
      </w:r>
      <w:r>
        <w:rPr>
          <w:rFonts w:hint="default" w:ascii="Times New Roman" w:hAnsi="Times New Roman" w:cs="Times New Roman"/>
          <w:color w:val="auto"/>
          <w:kern w:val="2"/>
          <w:lang w:val="en-US" w:eastAsia="zh-CN"/>
        </w:rPr>
        <w:t>六六六、滴滴涕</w:t>
      </w:r>
      <w:r>
        <w:rPr>
          <w:rFonts w:hint="eastAsia" w:ascii="Times New Roman" w:hAnsi="Times New Roman" w:cs="Times New Roman"/>
          <w:color w:val="auto"/>
          <w:kern w:val="2"/>
          <w:lang w:val="en-US" w:eastAsia="zh-CN"/>
        </w:rPr>
        <w:t>有检出</w:t>
      </w:r>
      <w:r>
        <w:rPr>
          <w:rFonts w:hint="default" w:ascii="Times New Roman" w:hAnsi="Times New Roman" w:cs="Times New Roman"/>
          <w:color w:val="auto"/>
          <w:kern w:val="2"/>
        </w:rPr>
        <w:t>可能是</w:t>
      </w:r>
      <w:r>
        <w:rPr>
          <w:rFonts w:hint="eastAsia" w:ascii="Times New Roman" w:hAnsi="Times New Roman" w:cs="Times New Roman"/>
          <w:color w:val="auto"/>
          <w:kern w:val="2"/>
          <w:lang w:eastAsia="zh-CN"/>
        </w:rPr>
        <w:t>早期</w:t>
      </w:r>
      <w:r>
        <w:rPr>
          <w:rFonts w:hint="default" w:ascii="Times New Roman" w:hAnsi="Times New Roman" w:eastAsia="宋体" w:cs="Times New Roman"/>
          <w:color w:val="auto"/>
          <w:highlight w:val="none"/>
          <w:lang w:val="en-US" w:eastAsia="zh-CN"/>
        </w:rPr>
        <w:t>农田</w:t>
      </w:r>
      <w:r>
        <w:rPr>
          <w:rFonts w:hint="default" w:ascii="Times New Roman" w:hAnsi="Times New Roman" w:eastAsia="宋体" w:cs="Times New Roman"/>
          <w:color w:val="auto"/>
          <w:highlight w:val="none"/>
        </w:rPr>
        <w:t>耕种过程中农药的使用对土壤造成的</w:t>
      </w:r>
      <w:r>
        <w:rPr>
          <w:rFonts w:hint="default" w:ascii="Times New Roman" w:hAnsi="Times New Roman" w:eastAsia="宋体" w:cs="Times New Roman"/>
          <w:color w:val="auto"/>
          <w:highlight w:val="none"/>
          <w:lang w:eastAsia="zh-CN"/>
        </w:rPr>
        <w:t>痕量污染物累积</w:t>
      </w:r>
      <w:r>
        <w:rPr>
          <w:rFonts w:hint="eastAsia" w:ascii="Times New Roman" w:hAnsi="Times New Roman" w:eastAsia="宋体" w:cs="Times New Roman"/>
          <w:color w:val="auto"/>
          <w:highlight w:val="none"/>
          <w:lang w:eastAsia="zh-CN"/>
        </w:rPr>
        <w:t>所致，但</w:t>
      </w:r>
      <w:r>
        <w:rPr>
          <w:rFonts w:hint="default" w:ascii="Times New Roman" w:hAnsi="Times New Roman" w:cs="Times New Roman"/>
          <w:color w:val="auto"/>
          <w:kern w:val="2"/>
          <w:lang w:eastAsia="zh-CN"/>
        </w:rPr>
        <w:t>各因子检出浓度均低于《土壤环境质量 建设用地土壤污染风险管控标准（试行）》（GB 36600-2018）中第</w:t>
      </w:r>
      <w:r>
        <w:rPr>
          <w:rFonts w:hint="eastAsia" w:cs="Times New Roman"/>
          <w:color w:val="auto"/>
          <w:kern w:val="2"/>
          <w:lang w:eastAsia="zh-CN"/>
        </w:rPr>
        <w:t>一</w:t>
      </w:r>
      <w:r>
        <w:rPr>
          <w:rFonts w:hint="default" w:ascii="Times New Roman" w:hAnsi="Times New Roman" w:cs="Times New Roman"/>
          <w:color w:val="auto"/>
          <w:kern w:val="2"/>
          <w:lang w:eastAsia="zh-CN"/>
        </w:rPr>
        <w:t>类用地标准</w:t>
      </w:r>
      <w:r>
        <w:rPr>
          <w:rFonts w:hint="default" w:ascii="Times New Roman" w:hAnsi="Times New Roman" w:eastAsia="宋体" w:cs="Times New Roman"/>
          <w:color w:val="auto"/>
          <w:highlight w:val="none"/>
        </w:rPr>
        <w:t>。</w:t>
      </w:r>
    </w:p>
    <w:p>
      <w:pPr>
        <w:keepNext w:val="0"/>
        <w:keepLines w:val="0"/>
        <w:pageBreakBefore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 w:val="24"/>
          <w:szCs w:val="24"/>
          <w:highlight w:val="none"/>
          <w:lang w:val="en-US" w:eastAsia="zh-CN" w:bidi="ar-SA"/>
        </w:rPr>
      </w:pPr>
      <w:r>
        <w:rPr>
          <w:rFonts w:hint="default" w:ascii="Times New Roman" w:hAnsi="Times New Roman" w:cs="Times New Roman"/>
          <w:b w:val="0"/>
          <w:bCs w:val="0"/>
          <w:color w:val="auto"/>
          <w:kern w:val="2"/>
          <w:highlight w:val="none"/>
        </w:rPr>
        <w:t>根据地下水检测结果，</w:t>
      </w:r>
      <w:r>
        <w:rPr>
          <w:rFonts w:hint="default" w:ascii="Times New Roman" w:hAnsi="Times New Roman" w:cs="Times New Roman"/>
          <w:b w:val="0"/>
          <w:bCs w:val="0"/>
          <w:color w:val="auto"/>
          <w:kern w:val="0"/>
          <w:sz w:val="24"/>
          <w:szCs w:val="24"/>
          <w:highlight w:val="none"/>
          <w:lang w:eastAsia="zh-CN"/>
        </w:rPr>
        <w:t>本次调查共设置</w:t>
      </w:r>
      <w:r>
        <w:rPr>
          <w:rFonts w:hint="eastAsia" w:cs="Times New Roman"/>
          <w:b w:val="0"/>
          <w:bCs w:val="0"/>
          <w:color w:val="auto"/>
          <w:kern w:val="0"/>
          <w:sz w:val="24"/>
          <w:szCs w:val="24"/>
          <w:highlight w:val="none"/>
          <w:lang w:val="en-US" w:eastAsia="zh-CN"/>
        </w:rPr>
        <w:t>2</w:t>
      </w:r>
      <w:r>
        <w:rPr>
          <w:rFonts w:hint="default" w:ascii="Times New Roman" w:hAnsi="Times New Roman" w:cs="Times New Roman"/>
          <w:b w:val="0"/>
          <w:bCs w:val="0"/>
          <w:color w:val="auto"/>
          <w:kern w:val="0"/>
          <w:sz w:val="24"/>
          <w:szCs w:val="24"/>
          <w:highlight w:val="none"/>
          <w:lang w:eastAsia="zh-CN"/>
        </w:rPr>
        <w:t>口地下水</w:t>
      </w:r>
      <w:r>
        <w:rPr>
          <w:rFonts w:hint="eastAsia" w:cs="Times New Roman"/>
          <w:b w:val="0"/>
          <w:bCs w:val="0"/>
          <w:color w:val="auto"/>
          <w:kern w:val="0"/>
          <w:sz w:val="24"/>
          <w:szCs w:val="24"/>
          <w:highlight w:val="none"/>
          <w:lang w:eastAsia="zh-CN"/>
        </w:rPr>
        <w:t>监测</w:t>
      </w:r>
      <w:r>
        <w:rPr>
          <w:rFonts w:hint="default" w:ascii="Times New Roman" w:hAnsi="Times New Roman" w:cs="Times New Roman"/>
          <w:b w:val="0"/>
          <w:bCs w:val="0"/>
          <w:color w:val="auto"/>
          <w:kern w:val="0"/>
          <w:sz w:val="24"/>
          <w:szCs w:val="24"/>
          <w:highlight w:val="none"/>
          <w:lang w:eastAsia="zh-CN"/>
        </w:rPr>
        <w:t>井</w:t>
      </w:r>
      <w:r>
        <w:rPr>
          <w:rFonts w:hint="eastAsia" w:ascii="Times New Roman" w:hAnsi="Times New Roman" w:cs="Times New Roman"/>
          <w:b w:val="0"/>
          <w:bCs w:val="0"/>
          <w:color w:val="auto"/>
          <w:kern w:val="0"/>
          <w:sz w:val="24"/>
          <w:szCs w:val="24"/>
          <w:highlight w:val="none"/>
          <w:lang w:eastAsia="zh-CN"/>
        </w:rPr>
        <w:t>，</w:t>
      </w:r>
      <w:r>
        <w:rPr>
          <w:rFonts w:hint="eastAsia" w:cs="Times New Roman"/>
          <w:b w:val="0"/>
          <w:bCs w:val="0"/>
          <w:color w:val="auto"/>
          <w:kern w:val="0"/>
          <w:sz w:val="24"/>
          <w:szCs w:val="24"/>
          <w:highlight w:val="none"/>
          <w:lang w:eastAsia="zh-CN"/>
        </w:rPr>
        <w:t>在测试的</w:t>
      </w:r>
      <w:r>
        <w:rPr>
          <w:rFonts w:hint="eastAsia" w:cs="Times New Roman"/>
          <w:b w:val="0"/>
          <w:bCs w:val="0"/>
          <w:color w:val="auto"/>
          <w:kern w:val="0"/>
          <w:sz w:val="24"/>
          <w:szCs w:val="24"/>
          <w:highlight w:val="none"/>
          <w:lang w:val="en-US" w:eastAsia="zh-CN"/>
        </w:rPr>
        <w:t>27项指标中，有检出的指标包括</w:t>
      </w:r>
      <w:r>
        <w:rPr>
          <w:rFonts w:hint="default" w:ascii="Times New Roman" w:hAnsi="Times New Roman" w:cs="Times New Roman"/>
          <w:b w:val="0"/>
          <w:bCs w:val="0"/>
          <w:color w:val="auto"/>
          <w:kern w:val="2"/>
          <w:sz w:val="24"/>
          <w:szCs w:val="24"/>
          <w:highlight w:val="none"/>
        </w:rPr>
        <w:t>pH、</w:t>
      </w:r>
      <w:r>
        <w:rPr>
          <w:rFonts w:hint="default" w:ascii="Times New Roman" w:hAnsi="Times New Roman" w:cs="Times New Roman"/>
          <w:b w:val="0"/>
          <w:bCs w:val="0"/>
          <w:color w:val="auto"/>
          <w:kern w:val="2"/>
          <w:sz w:val="24"/>
          <w:szCs w:val="24"/>
          <w:highlight w:val="none"/>
          <w:lang w:val="en-US" w:eastAsia="zh-CN"/>
        </w:rPr>
        <w:t>铁、</w:t>
      </w:r>
      <w:r>
        <w:rPr>
          <w:rFonts w:hint="default" w:ascii="Times New Roman" w:hAnsi="Times New Roman" w:cs="Times New Roman"/>
          <w:b w:val="0"/>
          <w:bCs w:val="0"/>
          <w:color w:val="auto"/>
          <w:kern w:val="2"/>
          <w:sz w:val="24"/>
          <w:szCs w:val="24"/>
          <w:highlight w:val="none"/>
          <w:lang w:eastAsia="zh-CN"/>
        </w:rPr>
        <w:t>镍、</w:t>
      </w:r>
      <w:r>
        <w:rPr>
          <w:rFonts w:hint="default" w:ascii="Times New Roman" w:hAnsi="Times New Roman" w:cs="Times New Roman"/>
          <w:b w:val="0"/>
          <w:bCs w:val="0"/>
          <w:color w:val="auto"/>
          <w:kern w:val="2"/>
          <w:sz w:val="24"/>
          <w:szCs w:val="24"/>
          <w:highlight w:val="none"/>
          <w:lang w:val="en-US" w:eastAsia="zh-CN"/>
        </w:rPr>
        <w:t>硒、钠、砷</w:t>
      </w:r>
      <w:r>
        <w:rPr>
          <w:rFonts w:hint="eastAsia" w:ascii="Times New Roman" w:hAnsi="Times New Roman" w:cs="Times New Roman"/>
          <w:b w:val="0"/>
          <w:bCs w:val="0"/>
          <w:color w:val="auto"/>
          <w:kern w:val="2"/>
          <w:sz w:val="24"/>
          <w:szCs w:val="24"/>
          <w:highlight w:val="none"/>
          <w:lang w:val="en-US" w:eastAsia="zh-CN"/>
        </w:rPr>
        <w:t>、</w:t>
      </w:r>
      <w:r>
        <w:rPr>
          <w:rFonts w:hint="default" w:ascii="Times New Roman" w:hAnsi="Times New Roman" w:cs="Times New Roman"/>
          <w:b w:val="0"/>
          <w:bCs w:val="0"/>
          <w:color w:val="auto"/>
          <w:kern w:val="2"/>
          <w:sz w:val="24"/>
          <w:szCs w:val="24"/>
          <w:highlight w:val="none"/>
        </w:rPr>
        <w:t>溶解性总固体、硝酸盐（以N计）、亚硝酸盐（以N计）、耗氧量（COD</w:t>
      </w:r>
      <w:r>
        <w:rPr>
          <w:rFonts w:hint="default" w:ascii="Times New Roman" w:hAnsi="Times New Roman" w:cs="Times New Roman"/>
          <w:b w:val="0"/>
          <w:bCs w:val="0"/>
          <w:color w:val="auto"/>
          <w:kern w:val="2"/>
          <w:sz w:val="24"/>
          <w:szCs w:val="24"/>
          <w:highlight w:val="none"/>
          <w:vertAlign w:val="subscript"/>
        </w:rPr>
        <w:t>Mn</w:t>
      </w:r>
      <w:r>
        <w:rPr>
          <w:rFonts w:hint="default" w:ascii="Times New Roman" w:hAnsi="Times New Roman" w:cs="Times New Roman"/>
          <w:b w:val="0"/>
          <w:bCs w:val="0"/>
          <w:color w:val="auto"/>
          <w:kern w:val="2"/>
          <w:sz w:val="24"/>
          <w:szCs w:val="24"/>
          <w:highlight w:val="none"/>
        </w:rPr>
        <w:t>法以O</w:t>
      </w:r>
      <w:r>
        <w:rPr>
          <w:rFonts w:hint="default" w:ascii="Times New Roman" w:hAnsi="Times New Roman" w:cs="Times New Roman"/>
          <w:b w:val="0"/>
          <w:bCs w:val="0"/>
          <w:color w:val="auto"/>
          <w:kern w:val="2"/>
          <w:sz w:val="24"/>
          <w:szCs w:val="24"/>
          <w:highlight w:val="none"/>
          <w:vertAlign w:val="subscript"/>
        </w:rPr>
        <w:t>2</w:t>
      </w:r>
      <w:r>
        <w:rPr>
          <w:rFonts w:hint="default" w:ascii="Times New Roman" w:hAnsi="Times New Roman" w:cs="Times New Roman"/>
          <w:b w:val="0"/>
          <w:bCs w:val="0"/>
          <w:color w:val="auto"/>
          <w:kern w:val="2"/>
          <w:sz w:val="24"/>
          <w:szCs w:val="24"/>
          <w:highlight w:val="none"/>
        </w:rPr>
        <w:t>计）</w:t>
      </w:r>
      <w:r>
        <w:rPr>
          <w:rFonts w:hint="default" w:ascii="Times New Roman" w:hAnsi="Times New Roman" w:cs="Times New Roman"/>
          <w:b w:val="0"/>
          <w:bCs w:val="0"/>
          <w:color w:val="auto"/>
          <w:kern w:val="2"/>
          <w:sz w:val="24"/>
          <w:szCs w:val="24"/>
          <w:highlight w:val="none"/>
          <w:lang w:eastAsia="zh-CN"/>
        </w:rPr>
        <w:t>、</w:t>
      </w:r>
      <w:r>
        <w:rPr>
          <w:rFonts w:hint="default" w:ascii="Times New Roman" w:hAnsi="Times New Roman" w:cs="Times New Roman"/>
          <w:b w:val="0"/>
          <w:bCs w:val="0"/>
          <w:color w:val="auto"/>
          <w:kern w:val="2"/>
          <w:sz w:val="24"/>
          <w:szCs w:val="24"/>
          <w:highlight w:val="none"/>
        </w:rPr>
        <w:t>氟化物、总硬度、硫酸盐、氯化物</w:t>
      </w:r>
      <w:r>
        <w:rPr>
          <w:rFonts w:hint="default" w:ascii="Times New Roman" w:hAnsi="Times New Roman" w:cs="Times New Roman"/>
          <w:b w:val="0"/>
          <w:bCs w:val="0"/>
          <w:color w:val="auto"/>
          <w:kern w:val="2"/>
          <w:highlight w:val="none"/>
        </w:rPr>
        <w:t>1</w:t>
      </w:r>
      <w:r>
        <w:rPr>
          <w:rFonts w:hint="eastAsia" w:cs="Times New Roman"/>
          <w:b w:val="0"/>
          <w:bCs w:val="0"/>
          <w:color w:val="auto"/>
          <w:kern w:val="2"/>
          <w:highlight w:val="none"/>
          <w:lang w:val="en-US" w:eastAsia="zh-CN"/>
        </w:rPr>
        <w:t>4</w:t>
      </w:r>
      <w:r>
        <w:rPr>
          <w:rFonts w:hint="default" w:ascii="Times New Roman" w:hAnsi="Times New Roman" w:cs="Times New Roman"/>
          <w:b w:val="0"/>
          <w:bCs w:val="0"/>
          <w:color w:val="auto"/>
          <w:kern w:val="2"/>
          <w:highlight w:val="none"/>
        </w:rPr>
        <w:t>项</w:t>
      </w:r>
      <w:r>
        <w:rPr>
          <w:rFonts w:hint="eastAsia" w:ascii="Times New Roman" w:hAnsi="Times New Roman" w:cs="Times New Roman"/>
          <w:b w:val="0"/>
          <w:bCs w:val="0"/>
          <w:color w:val="auto"/>
          <w:kern w:val="2"/>
          <w:highlight w:val="none"/>
          <w:lang w:eastAsia="zh-CN"/>
        </w:rPr>
        <w:t>，</w:t>
      </w:r>
      <w:r>
        <w:rPr>
          <w:rFonts w:hint="default" w:ascii="Times New Roman" w:hAnsi="Times New Roman" w:cs="Times New Roman"/>
          <w:color w:val="auto"/>
          <w:kern w:val="2"/>
        </w:rPr>
        <w:t>各检出因子的最大浓度均未超</w:t>
      </w:r>
      <w:r>
        <w:rPr>
          <w:rFonts w:hint="default" w:ascii="Times New Roman" w:hAnsi="Times New Roman" w:cs="Times New Roman"/>
          <w:b w:val="0"/>
          <w:bCs w:val="0"/>
          <w:color w:val="auto"/>
          <w:kern w:val="2"/>
          <w:highlight w:val="none"/>
        </w:rPr>
        <w:t>出《地下水质量标准》（GB/T 14848-2017）Ⅲ类标准</w:t>
      </w:r>
      <w:r>
        <w:rPr>
          <w:rFonts w:hint="default" w:ascii="Times New Roman" w:hAnsi="Times New Roman" w:eastAsia="宋体" w:cs="Times New Roman"/>
          <w:kern w:val="2"/>
          <w:sz w:val="24"/>
          <w:szCs w:val="24"/>
          <w:highlight w:val="none"/>
          <w:lang w:val="en-US" w:eastAsia="zh-CN" w:bidi="ar-SA"/>
        </w:rPr>
        <w:t>。</w:t>
      </w:r>
    </w:p>
    <w:p>
      <w:pPr>
        <w:pStyle w:val="4"/>
        <w:rPr>
          <w:rFonts w:hint="default" w:ascii="Times New Roman" w:hAnsi="Times New Roman" w:cs="Times New Roman"/>
          <w:highlight w:val="none"/>
        </w:rPr>
      </w:pPr>
      <w:r>
        <w:rPr>
          <w:rFonts w:hint="eastAsia" w:cs="Times New Roman"/>
          <w:highlight w:val="none"/>
          <w:lang w:val="en-US" w:eastAsia="zh-CN"/>
        </w:rPr>
        <w:t>4</w:t>
      </w:r>
      <w:r>
        <w:rPr>
          <w:rFonts w:hint="default" w:ascii="Times New Roman" w:hAnsi="Times New Roman" w:cs="Times New Roman"/>
          <w:highlight w:val="none"/>
        </w:rPr>
        <w:t xml:space="preserve"> 调查结论</w:t>
      </w:r>
      <w:bookmarkEnd w:id="15"/>
      <w:bookmarkEnd w:id="16"/>
      <w:bookmarkEnd w:id="17"/>
      <w:bookmarkEnd w:id="18"/>
      <w:bookmarkEnd w:id="19"/>
      <w:bookmarkEnd w:id="20"/>
      <w:bookmarkEnd w:id="21"/>
      <w:bookmarkEnd w:id="22"/>
    </w:p>
    <w:p>
      <w:pPr>
        <w:pStyle w:val="6"/>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根据本项目土壤</w:t>
      </w:r>
      <w:r>
        <w:rPr>
          <w:rFonts w:hint="eastAsia" w:cs="Times New Roman"/>
          <w:color w:val="auto"/>
          <w:highlight w:val="none"/>
          <w:lang w:eastAsia="zh-CN"/>
        </w:rPr>
        <w:t>、地下水</w:t>
      </w:r>
      <w:r>
        <w:rPr>
          <w:rFonts w:hint="default" w:ascii="Times New Roman" w:hAnsi="Times New Roman" w:eastAsia="宋体" w:cs="Times New Roman"/>
          <w:color w:val="auto"/>
          <w:highlight w:val="none"/>
        </w:rPr>
        <w:t>检测报告统计分析结果，</w:t>
      </w:r>
      <w:r>
        <w:rPr>
          <w:rFonts w:hint="eastAsia" w:cs="Times New Roman"/>
          <w:color w:val="auto"/>
          <w:highlight w:val="none"/>
          <w:lang w:eastAsia="zh-CN"/>
        </w:rPr>
        <w:t>本地块</w:t>
      </w:r>
      <w:r>
        <w:rPr>
          <w:rFonts w:hint="default" w:ascii="Times New Roman" w:hAnsi="Times New Roman" w:eastAsia="宋体" w:cs="Times New Roman"/>
          <w:color w:val="auto"/>
          <w:highlight w:val="none"/>
        </w:rPr>
        <w:t xml:space="preserve">不属于污染地块。根据《建设用地土壤污染调查技术导则》（HJ 25.1-2019），地块调查工作到该阶段（初步采样分析阶段）结束，不需进一步开展详细调查与风险评估工作。 </w:t>
      </w:r>
    </w:p>
    <w:p>
      <w:r>
        <w:rPr>
          <w:rFonts w:hint="default" w:ascii="Times New Roman" w:hAnsi="Times New Roman" w:eastAsia="宋体" w:cs="Times New Roman"/>
          <w:color w:val="auto"/>
          <w:highlight w:val="none"/>
        </w:rPr>
        <w:t>根据检测结果分析，</w:t>
      </w:r>
      <w:r>
        <w:rPr>
          <w:rFonts w:hint="eastAsia" w:cs="Times New Roman"/>
          <w:color w:val="auto"/>
          <w:highlight w:val="none"/>
          <w:lang w:eastAsia="zh-CN"/>
        </w:rPr>
        <w:t>本地块</w:t>
      </w:r>
      <w:r>
        <w:rPr>
          <w:rFonts w:hint="default" w:ascii="Times New Roman" w:hAnsi="Times New Roman" w:eastAsia="宋体" w:cs="Times New Roman"/>
          <w:color w:val="auto"/>
          <w:highlight w:val="none"/>
        </w:rPr>
        <w:t>土壤质量符合用地</w:t>
      </w:r>
      <w:r>
        <w:rPr>
          <w:rFonts w:hint="default" w:ascii="Times New Roman" w:hAnsi="Times New Roman" w:eastAsia="宋体" w:cs="Times New Roman"/>
          <w:color w:val="auto"/>
          <w:highlight w:val="none"/>
          <w:lang w:val="en-US" w:eastAsia="zh-CN"/>
        </w:rPr>
        <w:t>规划土壤</w:t>
      </w:r>
      <w:r>
        <w:rPr>
          <w:rFonts w:hint="default" w:ascii="Times New Roman" w:hAnsi="Times New Roman" w:eastAsia="宋体" w:cs="Times New Roman"/>
          <w:color w:val="auto"/>
          <w:highlight w:val="none"/>
        </w:rPr>
        <w:t>环境质量要求，可作为</w:t>
      </w:r>
      <w:r>
        <w:rPr>
          <w:rFonts w:hint="eastAsia" w:cs="Times New Roman"/>
          <w:b w:val="0"/>
          <w:bCs w:val="0"/>
          <w:color w:val="auto"/>
          <w:sz w:val="24"/>
          <w:szCs w:val="24"/>
          <w:highlight w:val="none"/>
          <w:lang w:val="en-US" w:eastAsia="zh-CN"/>
        </w:rPr>
        <w:t>居住用地</w:t>
      </w:r>
      <w:r>
        <w:rPr>
          <w:rFonts w:hint="default" w:ascii="Times New Roman" w:hAnsi="Times New Roman" w:eastAsia="宋体" w:cs="Times New Roman"/>
          <w:color w:val="auto"/>
          <w:highlight w:val="none"/>
        </w:rPr>
        <w:t>使用</w:t>
      </w:r>
      <w:bookmarkStart w:id="23" w:name="_GoBack"/>
      <w:bookmarkEnd w:id="23"/>
      <w:r>
        <w:rPr>
          <w:rFonts w:hint="default" w:ascii="Times New Roman" w:hAnsi="Times New Roman" w:cs="Times New Roman"/>
        </w:rPr>
        <w:t>。</w:t>
      </w:r>
    </w:p>
    <w:p>
      <w:pPr>
        <w:bidi w:val="0"/>
        <w:spacing w:line="500" w:lineRule="exact"/>
        <w:ind w:firstLine="480"/>
        <w:rPr>
          <w:rFonts w:hint="default" w:ascii="Times New Roman" w:hAnsi="Times New Roman" w:eastAsia="宋体" w:cs="Times New Roman"/>
          <w:color w:val="auto"/>
          <w:kern w:val="2"/>
          <w:sz w:val="24"/>
          <w:szCs w:val="24"/>
          <w:highlight w:val="none"/>
          <w:lang w:val="en-US" w:eastAsia="zh-CN" w:bidi="ar-SA"/>
        </w:rPr>
      </w:pPr>
    </w:p>
    <w:p>
      <w:pPr>
        <w:rPr>
          <w:highlight w:val="yellow"/>
        </w:rPr>
      </w:pPr>
    </w:p>
    <w:p>
      <w:pPr>
        <w:rPr>
          <w:highlight w:val="yellow"/>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3MDlmZDk0ZTgyYmYwYzYxYTNkMDk4MmRiZWQzYzkifQ=="/>
  </w:docVars>
  <w:rsids>
    <w:rsidRoot w:val="40587069"/>
    <w:rsid w:val="058549D8"/>
    <w:rsid w:val="0A414C6F"/>
    <w:rsid w:val="0B071994"/>
    <w:rsid w:val="0B506AD7"/>
    <w:rsid w:val="119732E4"/>
    <w:rsid w:val="13F8588E"/>
    <w:rsid w:val="15E60FE4"/>
    <w:rsid w:val="1AB07444"/>
    <w:rsid w:val="1BEA5670"/>
    <w:rsid w:val="1EAB6FB2"/>
    <w:rsid w:val="25CD574E"/>
    <w:rsid w:val="2D3B5B48"/>
    <w:rsid w:val="2EF673B4"/>
    <w:rsid w:val="2F1A0FB0"/>
    <w:rsid w:val="33716D16"/>
    <w:rsid w:val="35034D59"/>
    <w:rsid w:val="3561147E"/>
    <w:rsid w:val="386B638C"/>
    <w:rsid w:val="3ACA050B"/>
    <w:rsid w:val="3DEA3F0F"/>
    <w:rsid w:val="40587069"/>
    <w:rsid w:val="411B268F"/>
    <w:rsid w:val="41BD0A43"/>
    <w:rsid w:val="42601F5A"/>
    <w:rsid w:val="43227F76"/>
    <w:rsid w:val="478E25F1"/>
    <w:rsid w:val="4C4243A5"/>
    <w:rsid w:val="527B14DD"/>
    <w:rsid w:val="54EB55C5"/>
    <w:rsid w:val="5663028C"/>
    <w:rsid w:val="585A166B"/>
    <w:rsid w:val="61EA4E6B"/>
    <w:rsid w:val="65BC06D2"/>
    <w:rsid w:val="671D3E81"/>
    <w:rsid w:val="71B34BA5"/>
    <w:rsid w:val="734D7008"/>
    <w:rsid w:val="77E65041"/>
    <w:rsid w:val="783E35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theme="minorBidi"/>
      <w:kern w:val="2"/>
      <w:sz w:val="24"/>
      <w:szCs w:val="24"/>
      <w:lang w:val="en-US" w:eastAsia="zh-CN" w:bidi="ar-SA"/>
    </w:rPr>
  </w:style>
  <w:style w:type="paragraph" w:styleId="3">
    <w:name w:val="heading 1"/>
    <w:basedOn w:val="1"/>
    <w:next w:val="1"/>
    <w:qFormat/>
    <w:uiPriority w:val="0"/>
    <w:pPr>
      <w:keepNext/>
      <w:keepLines/>
      <w:spacing w:before="180" w:after="180" w:line="480" w:lineRule="exact"/>
      <w:ind w:firstLine="0" w:firstLineChars="0"/>
      <w:jc w:val="left"/>
      <w:outlineLvl w:val="0"/>
    </w:pPr>
    <w:rPr>
      <w:rFonts w:ascii="Times New Roman" w:hAnsi="Times New Roman" w:eastAsia="宋体"/>
      <w:b/>
      <w:kern w:val="44"/>
      <w:sz w:val="32"/>
    </w:rPr>
  </w:style>
  <w:style w:type="paragraph" w:styleId="4">
    <w:name w:val="heading 2"/>
    <w:basedOn w:val="1"/>
    <w:next w:val="1"/>
    <w:unhideWhenUsed/>
    <w:qFormat/>
    <w:uiPriority w:val="0"/>
    <w:pPr>
      <w:keepNext/>
      <w:keepLines/>
      <w:spacing w:before="120" w:after="120"/>
      <w:ind w:firstLine="0" w:firstLineChars="0"/>
      <w:jc w:val="left"/>
      <w:outlineLvl w:val="1"/>
    </w:pPr>
    <w:rPr>
      <w:b/>
      <w:sz w:val="30"/>
      <w:szCs w:val="32"/>
    </w:rPr>
  </w:style>
  <w:style w:type="paragraph" w:styleId="5">
    <w:name w:val="heading 4"/>
    <w:basedOn w:val="1"/>
    <w:next w:val="1"/>
    <w:unhideWhenUsed/>
    <w:qFormat/>
    <w:uiPriority w:val="0"/>
    <w:pPr>
      <w:keepNext/>
      <w:keepLines/>
      <w:spacing w:before="0" w:beforeLines="0" w:after="0" w:line="520" w:lineRule="exact"/>
      <w:ind w:firstLine="0" w:firstLineChars="0"/>
      <w:jc w:val="left"/>
      <w:outlineLvl w:val="3"/>
    </w:pPr>
    <w:rPr>
      <w:rFonts w:ascii="Arial" w:hAnsi="Arial" w:eastAsia="宋体"/>
      <w:b/>
      <w:szCs w:val="28"/>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39"/>
    <w:pPr>
      <w:tabs>
        <w:tab w:val="right" w:leader="dot" w:pos="8302"/>
      </w:tabs>
      <w:spacing w:line="480" w:lineRule="exact"/>
      <w:ind w:left="420" w:leftChars="200"/>
    </w:pPr>
    <w:rPr>
      <w:b/>
      <w:sz w:val="24"/>
    </w:rPr>
  </w:style>
  <w:style w:type="paragraph" w:styleId="6">
    <w:name w:val="Normal Indent"/>
    <w:basedOn w:val="1"/>
    <w:next w:val="5"/>
    <w:qFormat/>
    <w:uiPriority w:val="0"/>
    <w:pPr>
      <w:ind w:firstLine="420" w:firstLineChars="200"/>
    </w:pPr>
  </w:style>
  <w:style w:type="paragraph" w:styleId="7">
    <w:name w:val="Body Text"/>
    <w:basedOn w:val="1"/>
    <w:next w:val="1"/>
    <w:qFormat/>
    <w:uiPriority w:val="0"/>
    <w:pPr>
      <w:snapToGrid w:val="0"/>
      <w:jc w:val="center"/>
    </w:pPr>
    <w:rPr>
      <w:rFonts w:ascii="Arial" w:hAnsi="Arial"/>
      <w:sz w:val="24"/>
      <w:szCs w:val="20"/>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99"/>
    <w:pPr>
      <w:widowControl/>
      <w:spacing w:before="100" w:beforeAutospacing="1" w:after="100" w:afterAutospacing="1"/>
      <w:jc w:val="left"/>
    </w:pPr>
    <w:rPr>
      <w:rFonts w:ascii="宋体" w:hAnsi="宋体" w:cs="宋体"/>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2601</Words>
  <Characters>2812</Characters>
  <Lines>0</Lines>
  <Paragraphs>0</Paragraphs>
  <TotalTime>0</TotalTime>
  <ScaleCrop>false</ScaleCrop>
  <LinksUpToDate>false</LinksUpToDate>
  <CharactersWithSpaces>2823</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2020-06-22T02:54:00Z</dcterms:created>
  <dc:creator>李广鹏</dc:creator>
  <cp:lastModifiedBy>Administrator</cp:lastModifiedBy>
  <dcterms:modified xsi:type="dcterms:W3CDTF">2022-11-17T09:58:58Z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83015858B7964D72A950C8FEDE47A06C</vt:lpwstr>
  </property>
</Properties>
</file>