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keepNext w:val="0"/>
        <w:keepLines w:val="0"/>
        <w:pageBreakBefore w:val="0"/>
        <w:widowControl w:val="0"/>
        <w:kinsoku/>
        <w:wordWrap/>
        <w:overflowPunct/>
        <w:topLinePunct/>
        <w:autoSpaceDE/>
        <w:autoSpaceDN/>
        <w:bidi w:val="0"/>
        <w:adjustRightInd/>
        <w:snapToGrid w:val="0"/>
        <w:spacing w:before="157" w:beforeLines="50" w:line="240" w:lineRule="auto"/>
        <w:ind w:firstLine="0" w:firstLineChars="0"/>
        <w:textAlignment w:val="auto"/>
        <w:rPr>
          <w:rFonts w:hint="default" w:ascii="Times New Roman" w:hAnsi="Times New Roman" w:cs="Times New Roman"/>
          <w:b/>
          <w:bCs/>
          <w:sz w:val="44"/>
          <w:szCs w:val="44"/>
          <w:highlight w:val="none"/>
          <w:lang w:eastAsia="zh-CN"/>
        </w:rPr>
      </w:pPr>
    </w:p>
    <w:p>
      <w:pPr>
        <w:pStyle w:val="8"/>
        <w:keepNext w:val="0"/>
        <w:keepLines w:val="0"/>
        <w:pageBreakBefore w:val="0"/>
        <w:widowControl w:val="0"/>
        <w:kinsoku/>
        <w:wordWrap/>
        <w:overflowPunct/>
        <w:topLinePunct/>
        <w:autoSpaceDE/>
        <w:autoSpaceDN/>
        <w:bidi w:val="0"/>
        <w:adjustRightInd/>
        <w:snapToGrid w:val="0"/>
        <w:spacing w:before="157" w:beforeLines="50" w:line="240" w:lineRule="auto"/>
        <w:ind w:firstLine="0" w:firstLineChars="0"/>
        <w:textAlignment w:val="auto"/>
        <w:rPr>
          <w:rFonts w:hint="default" w:ascii="Times New Roman" w:hAnsi="Times New Roman" w:cs="Times New Roman"/>
          <w:b/>
          <w:bCs/>
          <w:sz w:val="44"/>
          <w:szCs w:val="44"/>
          <w:highlight w:val="none"/>
          <w:lang w:eastAsia="zh-CN"/>
        </w:rPr>
      </w:pPr>
    </w:p>
    <w:p>
      <w:pPr>
        <w:pStyle w:val="8"/>
        <w:keepNext w:val="0"/>
        <w:keepLines w:val="0"/>
        <w:pageBreakBefore w:val="0"/>
        <w:widowControl w:val="0"/>
        <w:kinsoku/>
        <w:wordWrap/>
        <w:overflowPunct/>
        <w:topLinePunct/>
        <w:autoSpaceDE/>
        <w:autoSpaceDN/>
        <w:bidi w:val="0"/>
        <w:adjustRightInd/>
        <w:snapToGrid w:val="0"/>
        <w:spacing w:before="157" w:beforeLines="50" w:line="240" w:lineRule="auto"/>
        <w:ind w:firstLine="0" w:firstLineChars="0"/>
        <w:textAlignment w:val="auto"/>
        <w:rPr>
          <w:rFonts w:hint="default" w:ascii="Times New Roman" w:hAnsi="Times New Roman" w:cs="Times New Roman"/>
          <w:b/>
          <w:bCs/>
          <w:sz w:val="44"/>
          <w:szCs w:val="44"/>
          <w:highlight w:val="none"/>
          <w:lang w:eastAsia="zh-CN"/>
        </w:rPr>
      </w:pPr>
      <w:bookmarkStart w:id="35" w:name="_GoBack"/>
      <w:r>
        <w:rPr>
          <w:rFonts w:hint="default" w:ascii="Times New Roman" w:hAnsi="Times New Roman" w:cs="Times New Roman"/>
          <w:b/>
          <w:bCs/>
          <w:sz w:val="44"/>
          <w:szCs w:val="44"/>
          <w:highlight w:val="none"/>
          <w:lang w:eastAsia="zh-CN"/>
        </w:rPr>
        <w:t>河北野风文化传播有限公司地块</w:t>
      </w:r>
    </w:p>
    <w:p>
      <w:pPr>
        <w:pStyle w:val="8"/>
        <w:keepNext w:val="0"/>
        <w:keepLines w:val="0"/>
        <w:pageBreakBefore w:val="0"/>
        <w:widowControl w:val="0"/>
        <w:kinsoku/>
        <w:wordWrap/>
        <w:overflowPunct/>
        <w:topLinePunct/>
        <w:autoSpaceDE/>
        <w:autoSpaceDN/>
        <w:bidi w:val="0"/>
        <w:adjustRightInd/>
        <w:snapToGrid w:val="0"/>
        <w:spacing w:before="157" w:beforeLines="50" w:line="240" w:lineRule="auto"/>
        <w:ind w:firstLine="0" w:firstLineChars="0"/>
        <w:textAlignment w:val="auto"/>
        <w:rPr>
          <w:rFonts w:hint="default" w:ascii="Times New Roman" w:hAnsi="Times New Roman" w:eastAsia="宋体" w:cs="Times New Roman"/>
          <w:b/>
          <w:bCs/>
          <w:color w:val="auto"/>
          <w:spacing w:val="40"/>
          <w:sz w:val="32"/>
          <w:szCs w:val="32"/>
          <w:highlight w:val="none"/>
        </w:rPr>
      </w:pPr>
      <w:r>
        <w:rPr>
          <w:rFonts w:hint="default" w:ascii="Times New Roman" w:hAnsi="Times New Roman" w:cs="Times New Roman"/>
          <w:b/>
          <w:bCs/>
          <w:sz w:val="32"/>
          <w:szCs w:val="32"/>
          <w:highlight w:val="none"/>
          <w:lang w:eastAsia="zh-CN"/>
        </w:rPr>
        <w:t>（宗地号130130001026GB00021）</w:t>
      </w:r>
    </w:p>
    <w:p>
      <w:pPr>
        <w:pStyle w:val="8"/>
        <w:keepNext w:val="0"/>
        <w:keepLines w:val="0"/>
        <w:pageBreakBefore w:val="0"/>
        <w:widowControl w:val="0"/>
        <w:kinsoku/>
        <w:wordWrap/>
        <w:overflowPunct/>
        <w:topLinePunct/>
        <w:autoSpaceDE/>
        <w:autoSpaceDN/>
        <w:bidi w:val="0"/>
        <w:adjustRightInd/>
        <w:snapToGrid w:val="0"/>
        <w:spacing w:before="469" w:beforeLines="150" w:line="240" w:lineRule="auto"/>
        <w:ind w:firstLine="0" w:firstLineChars="0"/>
        <w:textAlignment w:val="auto"/>
        <w:rPr>
          <w:rFonts w:hint="default" w:ascii="Times New Roman" w:hAnsi="Times New Roman" w:eastAsia="宋体" w:cs="Times New Roman"/>
          <w:b/>
          <w:color w:val="auto"/>
          <w:spacing w:val="20"/>
          <w:sz w:val="72"/>
          <w:szCs w:val="72"/>
          <w:highlight w:val="none"/>
          <w:lang w:eastAsia="zh-CN"/>
        </w:rPr>
      </w:pPr>
      <w:r>
        <w:rPr>
          <w:rFonts w:hint="default" w:ascii="Times New Roman" w:hAnsi="Times New Roman" w:eastAsia="宋体" w:cs="Times New Roman"/>
          <w:b/>
          <w:bCs/>
          <w:color w:val="auto"/>
          <w:spacing w:val="20"/>
          <w:sz w:val="72"/>
          <w:szCs w:val="72"/>
          <w:highlight w:val="none"/>
        </w:rPr>
        <w:t>土壤污染状况调查</w:t>
      </w:r>
      <w:r>
        <w:rPr>
          <w:rFonts w:hint="default" w:ascii="Times New Roman" w:hAnsi="Times New Roman" w:eastAsia="宋体" w:cs="Times New Roman"/>
          <w:b/>
          <w:bCs/>
          <w:color w:val="auto"/>
          <w:spacing w:val="20"/>
          <w:sz w:val="72"/>
          <w:szCs w:val="72"/>
          <w:highlight w:val="none"/>
          <w:lang w:eastAsia="zh-CN"/>
        </w:rPr>
        <w:t>报告</w:t>
      </w:r>
    </w:p>
    <w:p>
      <w:pPr>
        <w:ind w:firstLine="480"/>
        <w:jc w:val="center"/>
        <w:rPr>
          <w:rFonts w:hint="eastAsia" w:eastAsia="宋体" w:cs="Times New Roman"/>
          <w:b/>
          <w:bCs/>
          <w:color w:val="auto"/>
          <w:sz w:val="32"/>
          <w:szCs w:val="32"/>
          <w:highlight w:val="none"/>
          <w:lang w:eastAsia="zh-CN"/>
        </w:rPr>
      </w:pPr>
      <w:r>
        <w:rPr>
          <w:rFonts w:hint="eastAsia" w:cs="Times New Roman"/>
          <w:b/>
          <w:bCs/>
          <w:color w:val="auto"/>
          <w:sz w:val="32"/>
          <w:szCs w:val="32"/>
          <w:highlight w:val="none"/>
          <w:lang w:eastAsia="zh-CN"/>
        </w:rPr>
        <w:t>（公示本）</w:t>
      </w:r>
    </w:p>
    <w:bookmarkEnd w:id="35"/>
    <w:p>
      <w:pPr>
        <w:pStyle w:val="7"/>
        <w:rPr>
          <w:rFonts w:cs="Times New Roman"/>
          <w:color w:val="auto"/>
          <w:highlight w:val="none"/>
        </w:rPr>
      </w:pPr>
    </w:p>
    <w:p>
      <w:pPr>
        <w:rPr>
          <w:highlight w:val="none"/>
        </w:rPr>
      </w:pPr>
    </w:p>
    <w:p>
      <w:pPr>
        <w:rPr>
          <w:highlight w:val="none"/>
        </w:rPr>
      </w:pPr>
    </w:p>
    <w:p>
      <w:pPr>
        <w:ind w:firstLine="480"/>
        <w:rPr>
          <w:rFonts w:cs="Times New Roman"/>
          <w:color w:val="auto"/>
          <w:highlight w:val="none"/>
        </w:rPr>
      </w:pPr>
    </w:p>
    <w:p>
      <w:pPr>
        <w:ind w:firstLine="480"/>
        <w:rPr>
          <w:rFonts w:cs="Times New Roman"/>
          <w:color w:val="auto"/>
          <w:highlight w:val="none"/>
        </w:rPr>
      </w:pPr>
    </w:p>
    <w:p>
      <w:pPr>
        <w:ind w:firstLine="480"/>
        <w:rPr>
          <w:rFonts w:cs="Times New Roman"/>
          <w:color w:val="auto"/>
          <w:highlight w:val="none"/>
        </w:rPr>
      </w:pPr>
    </w:p>
    <w:p>
      <w:pPr>
        <w:pStyle w:val="7"/>
        <w:rPr>
          <w:highlight w:val="none"/>
        </w:rPr>
      </w:pPr>
    </w:p>
    <w:p>
      <w:pPr>
        <w:pStyle w:val="9"/>
        <w:widowControl w:val="0"/>
        <w:topLinePunct/>
        <w:snapToGrid w:val="0"/>
        <w:spacing w:before="0" w:beforeAutospacing="0" w:after="0" w:afterAutospacing="0" w:line="360" w:lineRule="auto"/>
        <w:ind w:firstLine="1108" w:firstLineChars="345"/>
        <w:jc w:val="both"/>
        <w:rPr>
          <w:rFonts w:ascii="Times New Roman" w:hAnsi="Times New Roman" w:cs="Times New Roman"/>
          <w:b/>
          <w:color w:val="auto"/>
          <w:kern w:val="2"/>
          <w:sz w:val="32"/>
          <w:szCs w:val="32"/>
          <w:highlight w:val="none"/>
        </w:rPr>
      </w:pPr>
    </w:p>
    <w:p>
      <w:pPr>
        <w:pStyle w:val="9"/>
        <w:widowControl w:val="0"/>
        <w:topLinePunct/>
        <w:snapToGrid w:val="0"/>
        <w:spacing w:before="0" w:beforeAutospacing="0" w:after="0" w:afterAutospacing="0" w:line="360" w:lineRule="auto"/>
        <w:ind w:firstLine="1108" w:firstLineChars="345"/>
        <w:jc w:val="both"/>
        <w:rPr>
          <w:rFonts w:ascii="Times New Roman" w:hAnsi="Times New Roman" w:cs="Times New Roman"/>
          <w:b/>
          <w:color w:val="auto"/>
          <w:kern w:val="2"/>
          <w:sz w:val="32"/>
          <w:szCs w:val="32"/>
          <w:highlight w:val="none"/>
        </w:rPr>
      </w:pPr>
    </w:p>
    <w:p>
      <w:pPr>
        <w:pStyle w:val="9"/>
        <w:widowControl w:val="0"/>
        <w:topLinePunct/>
        <w:snapToGrid w:val="0"/>
        <w:spacing w:before="0" w:beforeAutospacing="0" w:after="0" w:afterAutospacing="0" w:line="360" w:lineRule="auto"/>
        <w:ind w:firstLine="1108" w:firstLineChars="345"/>
        <w:jc w:val="both"/>
        <w:rPr>
          <w:rFonts w:ascii="Times New Roman" w:hAnsi="Times New Roman" w:cs="Times New Roman"/>
          <w:b/>
          <w:color w:val="auto"/>
          <w:kern w:val="2"/>
          <w:sz w:val="32"/>
          <w:szCs w:val="32"/>
          <w:highlight w:val="none"/>
        </w:rPr>
      </w:pPr>
    </w:p>
    <w:p>
      <w:pPr>
        <w:pStyle w:val="9"/>
        <w:widowControl w:val="0"/>
        <w:topLinePunct/>
        <w:snapToGrid w:val="0"/>
        <w:spacing w:before="0" w:beforeAutospacing="0" w:after="0" w:afterAutospacing="0" w:line="360" w:lineRule="auto"/>
        <w:ind w:firstLine="1108" w:firstLineChars="345"/>
        <w:jc w:val="both"/>
        <w:rPr>
          <w:rFonts w:ascii="Times New Roman" w:hAnsi="Times New Roman" w:cs="Times New Roman"/>
          <w:b/>
          <w:color w:val="auto"/>
          <w:kern w:val="2"/>
          <w:sz w:val="32"/>
          <w:szCs w:val="32"/>
          <w:highlight w:val="none"/>
        </w:rPr>
      </w:pPr>
    </w:p>
    <w:p>
      <w:pPr>
        <w:pStyle w:val="9"/>
        <w:widowControl w:val="0"/>
        <w:topLinePunct/>
        <w:snapToGrid w:val="0"/>
        <w:spacing w:before="0" w:beforeAutospacing="0" w:after="0" w:afterAutospacing="0" w:line="360" w:lineRule="auto"/>
        <w:ind w:firstLine="1108" w:firstLineChars="345"/>
        <w:jc w:val="both"/>
        <w:rPr>
          <w:rFonts w:ascii="Times New Roman" w:hAnsi="Times New Roman" w:cs="Times New Roman"/>
          <w:b/>
          <w:color w:val="auto"/>
          <w:kern w:val="2"/>
          <w:sz w:val="32"/>
          <w:szCs w:val="32"/>
          <w:highlight w:val="none"/>
        </w:rPr>
      </w:pPr>
    </w:p>
    <w:p>
      <w:pPr>
        <w:pStyle w:val="9"/>
        <w:widowControl w:val="0"/>
        <w:topLinePunct/>
        <w:snapToGrid w:val="0"/>
        <w:spacing w:before="0" w:beforeAutospacing="0" w:after="0" w:afterAutospacing="0" w:line="360" w:lineRule="auto"/>
        <w:ind w:firstLine="1108" w:firstLineChars="345"/>
        <w:jc w:val="both"/>
        <w:rPr>
          <w:rFonts w:ascii="Times New Roman" w:hAnsi="Times New Roman" w:cs="Times New Roman"/>
          <w:b/>
          <w:color w:val="auto"/>
          <w:kern w:val="2"/>
          <w:sz w:val="32"/>
          <w:szCs w:val="32"/>
          <w:highlight w:val="none"/>
        </w:rPr>
      </w:pPr>
    </w:p>
    <w:p>
      <w:pPr>
        <w:pStyle w:val="9"/>
        <w:widowControl w:val="0"/>
        <w:topLinePunct/>
        <w:snapToGrid w:val="0"/>
        <w:spacing w:before="0" w:beforeAutospacing="0" w:after="0" w:afterAutospacing="0" w:line="360" w:lineRule="auto"/>
        <w:ind w:firstLine="1205" w:firstLineChars="400"/>
        <w:jc w:val="both"/>
        <w:rPr>
          <w:rFonts w:hint="default" w:ascii="Times New Roman" w:hAnsi="Times New Roman" w:eastAsia="宋体" w:cs="Times New Roman"/>
          <w:b/>
          <w:color w:val="auto"/>
          <w:kern w:val="2"/>
          <w:sz w:val="30"/>
          <w:szCs w:val="30"/>
          <w:highlight w:val="none"/>
          <w:lang w:val="en-US" w:eastAsia="zh-CN"/>
        </w:rPr>
      </w:pPr>
      <w:r>
        <w:rPr>
          <w:rFonts w:hint="eastAsia" w:ascii="Times New Roman" w:hAnsi="Times New Roman" w:cs="Times New Roman"/>
          <w:b/>
          <w:color w:val="auto"/>
          <w:kern w:val="2"/>
          <w:sz w:val="30"/>
          <w:szCs w:val="30"/>
          <w:highlight w:val="none"/>
          <w:lang w:val="en-US" w:eastAsia="zh-CN"/>
        </w:rPr>
        <w:t>委托单位：河北野风文化传播有限公司</w:t>
      </w:r>
    </w:p>
    <w:p>
      <w:pPr>
        <w:pStyle w:val="9"/>
        <w:widowControl w:val="0"/>
        <w:topLinePunct/>
        <w:snapToGrid w:val="0"/>
        <w:spacing w:before="0" w:beforeAutospacing="0" w:after="0" w:afterAutospacing="0" w:line="360" w:lineRule="auto"/>
        <w:ind w:firstLine="1205" w:firstLineChars="400"/>
        <w:jc w:val="both"/>
        <w:rPr>
          <w:rFonts w:hint="eastAsia" w:ascii="Times New Roman" w:hAnsi="Times New Roman" w:eastAsia="宋体" w:cs="Times New Roman"/>
          <w:b/>
          <w:color w:val="auto"/>
          <w:kern w:val="2"/>
          <w:sz w:val="30"/>
          <w:szCs w:val="30"/>
          <w:highlight w:val="none"/>
          <w:lang w:eastAsia="zh-CN"/>
        </w:rPr>
      </w:pPr>
      <w:r>
        <w:rPr>
          <w:rFonts w:ascii="Times New Roman" w:hAnsi="Times New Roman" w:cs="Times New Roman"/>
          <w:b/>
          <w:color w:val="auto"/>
          <w:kern w:val="2"/>
          <w:sz w:val="30"/>
          <w:szCs w:val="30"/>
          <w:highlight w:val="none"/>
        </w:rPr>
        <w:t>编制单位：</w:t>
      </w:r>
      <w:r>
        <w:rPr>
          <w:rFonts w:hint="eastAsia" w:ascii="Times New Roman" w:hAnsi="Times New Roman" w:cs="Times New Roman"/>
          <w:b/>
          <w:color w:val="auto"/>
          <w:kern w:val="2"/>
          <w:sz w:val="30"/>
          <w:szCs w:val="30"/>
          <w:highlight w:val="none"/>
          <w:lang w:eastAsia="zh-CN"/>
        </w:rPr>
        <w:t>河北靓源环保工程有限公司</w:t>
      </w:r>
    </w:p>
    <w:p>
      <w:pPr>
        <w:ind w:firstLine="1205" w:firstLineChars="400"/>
        <w:rPr>
          <w:rFonts w:ascii="Times New Roman" w:hAnsi="Times New Roman" w:cs="Times New Roman"/>
          <w:b/>
          <w:color w:val="auto"/>
          <w:kern w:val="2"/>
          <w:sz w:val="30"/>
          <w:szCs w:val="30"/>
          <w:highlight w:val="none"/>
        </w:rPr>
        <w:sectPr>
          <w:pgSz w:w="11906" w:h="16838"/>
          <w:pgMar w:top="1440" w:right="1800" w:bottom="1440" w:left="1800" w:header="851" w:footer="992" w:gutter="0"/>
          <w:cols w:space="425" w:num="1"/>
          <w:docGrid w:type="lines" w:linePitch="312" w:charSpace="0"/>
        </w:sectPr>
      </w:pPr>
      <w:r>
        <w:rPr>
          <w:rFonts w:ascii="Times New Roman" w:hAnsi="Times New Roman" w:cs="Times New Roman"/>
          <w:b/>
          <w:color w:val="auto"/>
          <w:kern w:val="2"/>
          <w:sz w:val="30"/>
          <w:szCs w:val="30"/>
          <w:highlight w:val="none"/>
        </w:rPr>
        <w:t xml:space="preserve">编制日期：二 〇 </w:t>
      </w:r>
      <w:r>
        <w:rPr>
          <w:rFonts w:hint="eastAsia" w:ascii="Times New Roman" w:hAnsi="Times New Roman" w:cs="Times New Roman"/>
          <w:b/>
          <w:color w:val="auto"/>
          <w:kern w:val="2"/>
          <w:sz w:val="30"/>
          <w:szCs w:val="30"/>
          <w:highlight w:val="none"/>
          <w:lang w:eastAsia="zh-CN"/>
        </w:rPr>
        <w:t>二</w:t>
      </w:r>
      <w:r>
        <w:rPr>
          <w:rFonts w:ascii="Times New Roman" w:hAnsi="Times New Roman" w:cs="Times New Roman"/>
          <w:b/>
          <w:color w:val="auto"/>
          <w:kern w:val="2"/>
          <w:sz w:val="30"/>
          <w:szCs w:val="30"/>
          <w:highlight w:val="none"/>
        </w:rPr>
        <w:t xml:space="preserve"> </w:t>
      </w:r>
      <w:r>
        <w:rPr>
          <w:rFonts w:hint="eastAsia" w:ascii="Times New Roman" w:hAnsi="Times New Roman" w:cs="Times New Roman"/>
          <w:b/>
          <w:color w:val="auto"/>
          <w:kern w:val="2"/>
          <w:sz w:val="30"/>
          <w:szCs w:val="30"/>
          <w:highlight w:val="none"/>
          <w:lang w:eastAsia="zh-CN"/>
        </w:rPr>
        <w:t>二</w:t>
      </w:r>
      <w:r>
        <w:rPr>
          <w:rFonts w:ascii="Times New Roman" w:hAnsi="Times New Roman" w:cs="Times New Roman"/>
          <w:b/>
          <w:color w:val="auto"/>
          <w:kern w:val="2"/>
          <w:sz w:val="30"/>
          <w:szCs w:val="30"/>
          <w:highlight w:val="none"/>
        </w:rPr>
        <w:t xml:space="preserve"> 年 </w:t>
      </w:r>
      <w:r>
        <w:rPr>
          <w:rFonts w:hint="eastAsia" w:ascii="Times New Roman" w:hAnsi="Times New Roman" w:cs="Times New Roman"/>
          <w:b/>
          <w:color w:val="auto"/>
          <w:kern w:val="2"/>
          <w:sz w:val="30"/>
          <w:szCs w:val="30"/>
          <w:highlight w:val="none"/>
          <w:lang w:eastAsia="zh-CN"/>
        </w:rPr>
        <w:t>十</w:t>
      </w:r>
      <w:r>
        <w:rPr>
          <w:rFonts w:hint="eastAsia" w:ascii="Times New Roman" w:hAnsi="Times New Roman" w:cs="Times New Roman"/>
          <w:b/>
          <w:color w:val="auto"/>
          <w:kern w:val="2"/>
          <w:sz w:val="30"/>
          <w:szCs w:val="30"/>
          <w:highlight w:val="none"/>
          <w:lang w:val="en-US" w:eastAsia="zh-CN"/>
        </w:rPr>
        <w:t xml:space="preserve"> </w:t>
      </w:r>
      <w:r>
        <w:rPr>
          <w:rFonts w:hint="eastAsia" w:ascii="Times New Roman" w:hAnsi="Times New Roman" w:cs="Times New Roman"/>
          <w:b/>
          <w:color w:val="auto"/>
          <w:kern w:val="2"/>
          <w:sz w:val="30"/>
          <w:szCs w:val="30"/>
          <w:highlight w:val="none"/>
          <w:lang w:eastAsia="zh-CN"/>
        </w:rPr>
        <w:t>一</w:t>
      </w:r>
      <w:r>
        <w:rPr>
          <w:rFonts w:ascii="Times New Roman" w:hAnsi="Times New Roman" w:cs="Times New Roman"/>
          <w:b/>
          <w:color w:val="auto"/>
          <w:kern w:val="2"/>
          <w:sz w:val="30"/>
          <w:szCs w:val="30"/>
          <w:highlight w:val="none"/>
        </w:rPr>
        <w:t xml:space="preserve"> 月</w:t>
      </w:r>
    </w:p>
    <w:p>
      <w:pPr>
        <w:pStyle w:val="4"/>
        <w:bidi w:val="0"/>
        <w:rPr>
          <w:rFonts w:hint="eastAsia" w:eastAsia="宋体" w:cs="Times New Roman"/>
          <w:color w:val="auto"/>
          <w:highlight w:val="none"/>
          <w:lang w:val="en-US" w:eastAsia="zh-CN"/>
        </w:rPr>
      </w:pPr>
      <w:bookmarkStart w:id="0" w:name="_Toc5723"/>
      <w:bookmarkStart w:id="1" w:name="_Toc2413"/>
      <w:bookmarkStart w:id="2" w:name="_Toc16658"/>
      <w:bookmarkStart w:id="3" w:name="_Toc20059"/>
      <w:bookmarkStart w:id="4" w:name="_Toc5849"/>
      <w:bookmarkStart w:id="5" w:name="_Toc12922"/>
      <w:bookmarkStart w:id="6" w:name="_Toc5239"/>
      <w:bookmarkStart w:id="7" w:name="_Toc28744"/>
      <w:bookmarkStart w:id="8" w:name="_Toc2823"/>
      <w:r>
        <w:rPr>
          <w:rFonts w:hint="default" w:cs="Times New Roman"/>
          <w:color w:val="auto"/>
          <w:highlight w:val="none"/>
          <w:lang w:val="en-US" w:eastAsia="zh-CN"/>
        </w:rPr>
        <w:t xml:space="preserve">1 </w:t>
      </w:r>
      <w:r>
        <w:rPr>
          <w:rFonts w:hint="default" w:cs="Times New Roman"/>
          <w:color w:val="auto"/>
          <w:highlight w:val="none"/>
        </w:rPr>
        <w:t>地块概况</w:t>
      </w:r>
      <w:bookmarkEnd w:id="0"/>
      <w:bookmarkEnd w:id="1"/>
      <w:bookmarkEnd w:id="2"/>
      <w:bookmarkEnd w:id="3"/>
      <w:bookmarkEnd w:id="4"/>
      <w:bookmarkEnd w:id="5"/>
      <w:bookmarkEnd w:id="6"/>
      <w:bookmarkEnd w:id="7"/>
      <w:bookmarkEnd w:id="8"/>
      <w:r>
        <w:rPr>
          <w:rFonts w:hint="eastAsia" w:cs="Times New Roman"/>
          <w:color w:val="auto"/>
          <w:highlight w:val="none"/>
          <w:lang w:val="en-US" w:eastAsia="zh-CN"/>
        </w:rPr>
        <w:t xml:space="preserve"> </w:t>
      </w:r>
    </w:p>
    <w:p>
      <w:pPr>
        <w:pStyle w:val="7"/>
        <w:rPr>
          <w:highlight w:val="none"/>
        </w:rPr>
      </w:pPr>
      <w:bookmarkStart w:id="9" w:name="_Toc23724"/>
      <w:bookmarkStart w:id="10" w:name="_Toc22904"/>
      <w:bookmarkStart w:id="11" w:name="_Toc22861"/>
      <w:r>
        <w:rPr>
          <w:rFonts w:hint="eastAsia" w:cs="Times New Roman"/>
          <w:color w:val="auto"/>
          <w:highlight w:val="none"/>
          <w:lang w:eastAsia="zh-CN"/>
        </w:rPr>
        <w:t>河北野风文化传播有限公司地块（宗地号130130001026GB00021）</w:t>
      </w:r>
      <w:r>
        <w:rPr>
          <w:rFonts w:cs="Times New Roman"/>
          <w:color w:val="auto"/>
          <w:highlight w:val="none"/>
        </w:rPr>
        <w:t>位于</w:t>
      </w:r>
      <w:r>
        <w:rPr>
          <w:rFonts w:hint="eastAsia" w:cs="Times New Roman"/>
          <w:color w:val="auto"/>
          <w:highlight w:val="none"/>
          <w:lang w:eastAsia="zh-CN"/>
        </w:rPr>
        <w:t>石家庄市无极县定浚线原种场段路西，</w:t>
      </w:r>
      <w:r>
        <w:rPr>
          <w:rFonts w:cs="Times New Roman"/>
          <w:color w:val="auto"/>
          <w:highlight w:val="none"/>
        </w:rPr>
        <w:t>地块总占地面积</w:t>
      </w:r>
      <w:r>
        <w:rPr>
          <w:rFonts w:hint="eastAsia" w:cs="Times New Roman"/>
          <w:color w:val="auto"/>
          <w:highlight w:val="none"/>
          <w:lang w:eastAsia="zh-CN"/>
        </w:rPr>
        <w:t>10780.230m²</w:t>
      </w:r>
      <w:r>
        <w:rPr>
          <w:rFonts w:cs="Times New Roman"/>
          <w:color w:val="auto"/>
          <w:highlight w:val="none"/>
        </w:rPr>
        <w:t>（约合</w:t>
      </w:r>
      <w:r>
        <w:rPr>
          <w:rFonts w:hint="eastAsia" w:cs="Times New Roman"/>
          <w:color w:val="auto"/>
          <w:highlight w:val="none"/>
          <w:lang w:val="en-US" w:eastAsia="zh-CN"/>
        </w:rPr>
        <w:t>16.17亩</w:t>
      </w:r>
      <w:r>
        <w:rPr>
          <w:rFonts w:cs="Times New Roman"/>
          <w:color w:val="auto"/>
          <w:highlight w:val="none"/>
        </w:rPr>
        <w:t>）</w:t>
      </w:r>
      <w:r>
        <w:rPr>
          <w:rFonts w:hint="eastAsia" w:cs="Times New Roman"/>
          <w:color w:val="auto"/>
          <w:highlight w:val="none"/>
          <w:lang w:eastAsia="zh-CN"/>
        </w:rPr>
        <w:t>，</w:t>
      </w:r>
      <w:r>
        <w:rPr>
          <w:rFonts w:cs="Times New Roman"/>
          <w:highlight w:val="none"/>
        </w:rPr>
        <w:t>中心坐标为</w:t>
      </w:r>
      <w:r>
        <w:rPr>
          <w:rFonts w:hint="eastAsia" w:cs="Times New Roman"/>
          <w:highlight w:val="none"/>
          <w:lang w:eastAsia="zh-CN"/>
        </w:rPr>
        <w:t>东经</w:t>
      </w:r>
      <w:r>
        <w:rPr>
          <w:rFonts w:hint="eastAsia" w:cs="Times New Roman"/>
          <w:highlight w:val="none"/>
        </w:rPr>
        <w:t>114.96634°</w:t>
      </w:r>
      <w:r>
        <w:rPr>
          <w:rFonts w:hint="eastAsia" w:cs="Times New Roman"/>
          <w:highlight w:val="none"/>
          <w:lang w:eastAsia="zh-CN"/>
        </w:rPr>
        <w:t>，北纬</w:t>
      </w:r>
      <w:r>
        <w:rPr>
          <w:rFonts w:hint="eastAsia" w:cs="Times New Roman"/>
          <w:highlight w:val="none"/>
        </w:rPr>
        <w:t>38.20420°</w:t>
      </w:r>
      <w:r>
        <w:rPr>
          <w:rFonts w:cs="Times New Roman"/>
          <w:color w:val="auto"/>
          <w:highlight w:val="none"/>
        </w:rPr>
        <w:t>。</w:t>
      </w:r>
      <w:r>
        <w:rPr>
          <w:rFonts w:hint="eastAsia" w:cs="Times New Roman"/>
          <w:color w:val="auto"/>
          <w:highlight w:val="none"/>
          <w:lang w:eastAsia="zh-CN"/>
        </w:rPr>
        <w:t>地块东至野风美术中学校门口，南至乡村路，西至闲置空地，北至野风美术中学校内部路。地块</w:t>
      </w:r>
      <w:r>
        <w:rPr>
          <w:rFonts w:cs="Times New Roman"/>
          <w:color w:val="auto"/>
          <w:highlight w:val="none"/>
        </w:rPr>
        <w:t>历史上未进行过任何工业生产活动</w:t>
      </w:r>
      <w:r>
        <w:rPr>
          <w:rFonts w:hint="eastAsia" w:cs="Times New Roman"/>
          <w:color w:val="auto"/>
          <w:highlight w:val="none"/>
          <w:lang w:eastAsia="zh-CN"/>
        </w:rPr>
        <w:t>，地块</w:t>
      </w:r>
      <w:r>
        <w:rPr>
          <w:rFonts w:hint="eastAsia" w:cs="Times New Roman"/>
          <w:color w:val="auto"/>
          <w:highlight w:val="none"/>
          <w:lang w:val="en-US" w:eastAsia="zh-CN"/>
        </w:rPr>
        <w:t>2003年之前为无极县原种场育种用地（农用地）；2003年</w:t>
      </w:r>
      <w:r>
        <w:rPr>
          <w:rFonts w:hint="eastAsia" w:cs="Times New Roman"/>
          <w:color w:val="auto"/>
          <w:highlight w:val="none"/>
          <w:lang w:eastAsia="zh-CN"/>
        </w:rPr>
        <w:t>河北野风文化传播有限公司</w:t>
      </w:r>
      <w:r>
        <w:rPr>
          <w:rFonts w:hint="eastAsia" w:cs="Times New Roman"/>
          <w:color w:val="auto"/>
          <w:highlight w:val="none"/>
          <w:lang w:val="en-US" w:eastAsia="zh-CN"/>
        </w:rPr>
        <w:t>租用该地块开始建立</w:t>
      </w:r>
      <w:r>
        <w:rPr>
          <w:rFonts w:hint="eastAsia" w:cs="Times New Roman"/>
          <w:color w:val="auto"/>
          <w:highlight w:val="none"/>
          <w:lang w:eastAsia="zh-CN"/>
        </w:rPr>
        <w:t>野风美术中学（租期为</w:t>
      </w:r>
      <w:r>
        <w:rPr>
          <w:rFonts w:hint="eastAsia" w:cs="Times New Roman"/>
          <w:color w:val="auto"/>
          <w:highlight w:val="none"/>
          <w:lang w:val="en-US" w:eastAsia="zh-CN"/>
        </w:rPr>
        <w:t>50年</w:t>
      </w:r>
      <w:r>
        <w:rPr>
          <w:rFonts w:hint="eastAsia" w:cs="Times New Roman"/>
          <w:color w:val="auto"/>
          <w:highlight w:val="none"/>
          <w:lang w:eastAsia="zh-CN"/>
        </w:rPr>
        <w:t>）。</w:t>
      </w:r>
      <w:r>
        <w:rPr>
          <w:rFonts w:hint="eastAsia" w:cs="Times New Roman"/>
          <w:color w:val="auto"/>
          <w:highlight w:val="none"/>
          <w:lang w:val="en-US" w:eastAsia="zh-CN"/>
        </w:rPr>
        <w:t>2003年至2014年</w:t>
      </w:r>
      <w:r>
        <w:rPr>
          <w:rFonts w:hint="eastAsia" w:cs="Times New Roman"/>
          <w:color w:val="auto"/>
          <w:highlight w:val="none"/>
          <w:lang w:eastAsia="zh-CN"/>
        </w:rPr>
        <w:t>河北野风文化传播有限公司租用其作为野风美术中学校绿化用地使用；</w:t>
      </w:r>
      <w:r>
        <w:rPr>
          <w:rFonts w:hint="eastAsia" w:cs="Times New Roman"/>
          <w:color w:val="auto"/>
          <w:highlight w:val="none"/>
          <w:lang w:val="en-US" w:eastAsia="zh-CN"/>
        </w:rPr>
        <w:t>2014年至2017年地块东侧建立艺术展馆一期（凤凰造型头部），其它区域仍为学校绿化；2017年6月至2021年2月建立艺术展馆二期（凤凰造型凤尾），其他区域为闲置空地；2021年2月至今艺术展馆西侧建立卫生间，2022年4月至今建立艺术展馆三期（凤凰造型凤冠），地块内现状为艺术展馆及卫生间，除此之外西侧还留有部分闲置空地。2020年至2021年</w:t>
      </w:r>
      <w:r>
        <w:rPr>
          <w:rFonts w:hint="eastAsia" w:cs="Times New Roman"/>
          <w:color w:val="auto"/>
          <w:highlight w:val="none"/>
          <w:lang w:eastAsia="zh-CN"/>
        </w:rPr>
        <w:t>河北野风文化传播有限公司依法办理了土地证（两个），用地性质为工业用地；</w:t>
      </w:r>
      <w:r>
        <w:rPr>
          <w:rFonts w:hint="eastAsia" w:cs="Times New Roman"/>
          <w:color w:val="auto"/>
          <w:highlight w:val="none"/>
          <w:lang w:val="en-US" w:eastAsia="zh-CN"/>
        </w:rPr>
        <w:t>2022年将原两个土地证合并为一个（宗地号130130001026GB00021），用地性质仍为工业用地。</w:t>
      </w:r>
      <w:r>
        <w:rPr>
          <w:rFonts w:cs="Times New Roman"/>
          <w:color w:val="auto"/>
          <w:highlight w:val="none"/>
        </w:rPr>
        <w:t>本项目地块规划用地性质为</w:t>
      </w:r>
      <w:r>
        <w:rPr>
          <w:rFonts w:hint="eastAsia" w:cs="Times New Roman"/>
          <w:color w:val="auto"/>
          <w:highlight w:val="none"/>
          <w:lang w:eastAsia="zh-CN"/>
        </w:rPr>
        <w:t>中小学用地，土地使用权人保持不变</w:t>
      </w:r>
      <w:r>
        <w:rPr>
          <w:rFonts w:cs="Times New Roman"/>
          <w:color w:val="auto"/>
          <w:highlight w:val="none"/>
        </w:rPr>
        <w:t>。</w:t>
      </w:r>
    </w:p>
    <w:p>
      <w:pPr>
        <w:pStyle w:val="7"/>
        <w:rPr>
          <w:rFonts w:hint="eastAsia"/>
          <w:color w:val="auto"/>
          <w:highlight w:val="none"/>
          <w:lang w:val="en-US" w:eastAsia="zh-CN"/>
        </w:rPr>
      </w:pPr>
      <w:r>
        <w:rPr>
          <w:rFonts w:hint="eastAsia" w:cs="Times New Roman"/>
          <w:color w:val="auto"/>
          <w:highlight w:val="none"/>
          <w:lang w:eastAsia="zh-CN"/>
        </w:rPr>
        <w:t>河北野风文化传播有限公司地块（宗地号130130001026GB00021）</w:t>
      </w:r>
      <w:r>
        <w:rPr>
          <w:rFonts w:hint="eastAsia"/>
          <w:color w:val="auto"/>
          <w:highlight w:val="none"/>
        </w:rPr>
        <w:t>目前用地性质为</w:t>
      </w:r>
      <w:r>
        <w:rPr>
          <w:rFonts w:hint="eastAsia"/>
          <w:color w:val="auto"/>
          <w:highlight w:val="none"/>
          <w:lang w:eastAsia="zh-CN"/>
        </w:rPr>
        <w:t>工业用地，</w:t>
      </w:r>
      <w:r>
        <w:rPr>
          <w:rFonts w:hint="eastAsia" w:cs="Times New Roman"/>
          <w:color w:val="auto"/>
          <w:highlight w:val="none"/>
          <w:lang w:eastAsia="zh-CN"/>
        </w:rPr>
        <w:t>规划用途为</w:t>
      </w:r>
      <w:r>
        <w:rPr>
          <w:rFonts w:hint="default" w:ascii="Times New Roman" w:hAnsi="Times New Roman" w:eastAsia="宋体" w:cs="Times New Roman"/>
          <w:color w:val="auto"/>
          <w:highlight w:val="none"/>
        </w:rPr>
        <w:t>公共管理与公共服务用地</w:t>
      </w:r>
      <w:r>
        <w:rPr>
          <w:rFonts w:hint="eastAsia" w:cs="Times New Roman"/>
          <w:color w:val="auto"/>
          <w:highlight w:val="none"/>
          <w:lang w:eastAsia="zh-CN"/>
        </w:rPr>
        <w:t>中的中小学用地</w:t>
      </w:r>
      <w:r>
        <w:rPr>
          <w:rFonts w:cs="Times New Roman"/>
          <w:color w:val="auto"/>
          <w:highlight w:val="none"/>
        </w:rPr>
        <w:t>。</w:t>
      </w:r>
    </w:p>
    <w:p>
      <w:pPr>
        <w:pStyle w:val="4"/>
        <w:bidi w:val="0"/>
        <w:rPr>
          <w:rFonts w:hint="default" w:ascii="Times New Roman" w:hAnsi="Times New Roman" w:eastAsia="宋体" w:cs="Times New Roman"/>
          <w:color w:val="auto"/>
          <w:highlight w:val="none"/>
          <w:lang w:val="en-US" w:eastAsia="zh-CN"/>
        </w:rPr>
      </w:pPr>
      <w:bookmarkStart w:id="12" w:name="_Toc6775"/>
      <w:bookmarkStart w:id="13" w:name="_Toc16025"/>
      <w:bookmarkStart w:id="14" w:name="_Toc3524"/>
      <w:bookmarkStart w:id="15" w:name="_Toc31532"/>
      <w:bookmarkStart w:id="16" w:name="_Toc27585"/>
      <w:bookmarkStart w:id="17" w:name="_Toc4488"/>
      <w:r>
        <w:rPr>
          <w:rFonts w:hint="default" w:ascii="Times New Roman" w:hAnsi="Times New Roman" w:eastAsia="宋体" w:cs="Times New Roman"/>
          <w:color w:val="auto"/>
          <w:highlight w:val="none"/>
          <w:lang w:val="en-US" w:eastAsia="zh-CN"/>
        </w:rPr>
        <w:t>2 现场采样和检测</w:t>
      </w:r>
      <w:bookmarkEnd w:id="9"/>
      <w:bookmarkEnd w:id="10"/>
      <w:bookmarkEnd w:id="11"/>
      <w:bookmarkEnd w:id="12"/>
      <w:bookmarkEnd w:id="13"/>
      <w:bookmarkEnd w:id="14"/>
      <w:bookmarkEnd w:id="15"/>
      <w:bookmarkEnd w:id="16"/>
      <w:bookmarkEnd w:id="17"/>
    </w:p>
    <w:p>
      <w:pPr>
        <w:ind w:firstLine="480"/>
        <w:rPr>
          <w:rFonts w:hint="eastAsia" w:ascii="Times New Roman" w:hAnsi="Times New Roman" w:cs="Times New Roman"/>
          <w:color w:val="auto"/>
          <w:highlight w:val="none"/>
          <w:lang w:eastAsia="zh-CN"/>
        </w:rPr>
      </w:pPr>
      <w:r>
        <w:rPr>
          <w:rFonts w:hint="default" w:ascii="Times New Roman" w:hAnsi="Times New Roman" w:cs="Times New Roman"/>
          <w:color w:val="auto"/>
          <w:highlight w:val="none"/>
        </w:rPr>
        <w:t>我单位</w:t>
      </w:r>
      <w:r>
        <w:rPr>
          <w:rFonts w:hint="eastAsia" w:cs="Times New Roman"/>
          <w:color w:val="auto"/>
          <w:highlight w:val="none"/>
          <w:lang w:eastAsia="zh-CN"/>
        </w:rPr>
        <w:t>委托</w:t>
      </w:r>
      <w:r>
        <w:rPr>
          <w:rFonts w:hint="default" w:ascii="Times New Roman" w:hAnsi="Times New Roman" w:cs="Times New Roman"/>
          <w:color w:val="auto"/>
          <w:highlight w:val="none"/>
        </w:rPr>
        <w:t>河北百润环境检测技术有限公司</w:t>
      </w:r>
      <w:r>
        <w:rPr>
          <w:rFonts w:hint="eastAsia" w:cs="Times New Roman"/>
          <w:color w:val="auto"/>
          <w:highlight w:val="none"/>
          <w:lang w:eastAsia="zh-CN"/>
        </w:rPr>
        <w:t>于</w:t>
      </w:r>
      <w:r>
        <w:rPr>
          <w:rFonts w:hint="default" w:ascii="Times New Roman" w:hAnsi="Times New Roman" w:cs="Times New Roman"/>
          <w:color w:val="auto"/>
          <w:highlight w:val="none"/>
          <w:lang w:val="en-US" w:eastAsia="zh-CN"/>
        </w:rPr>
        <w:t>202</w:t>
      </w: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rPr>
        <w:t>年</w:t>
      </w:r>
      <w:r>
        <w:rPr>
          <w:rFonts w:hint="eastAsia" w:cs="Times New Roman"/>
          <w:color w:val="auto"/>
          <w:highlight w:val="none"/>
          <w:lang w:val="en-US" w:eastAsia="zh-CN"/>
        </w:rPr>
        <w:t>10</w:t>
      </w:r>
      <w:r>
        <w:rPr>
          <w:rFonts w:hint="default" w:ascii="Times New Roman" w:hAnsi="Times New Roman" w:cs="Times New Roman"/>
          <w:color w:val="auto"/>
          <w:highlight w:val="none"/>
        </w:rPr>
        <w:t>月</w:t>
      </w:r>
      <w:r>
        <w:rPr>
          <w:rFonts w:hint="eastAsia" w:ascii="Times New Roman" w:hAnsi="Times New Roman" w:cs="Times New Roman"/>
          <w:color w:val="auto"/>
          <w:highlight w:val="none"/>
          <w:lang w:val="en-US" w:eastAsia="zh-CN"/>
        </w:rPr>
        <w:t>4</w:t>
      </w:r>
      <w:r>
        <w:rPr>
          <w:rFonts w:hint="default" w:ascii="Times New Roman" w:hAnsi="Times New Roman" w:cs="Times New Roman"/>
          <w:color w:val="auto"/>
          <w:highlight w:val="none"/>
        </w:rPr>
        <w:t>日</w:t>
      </w:r>
      <w:r>
        <w:rPr>
          <w:rFonts w:hint="default" w:ascii="Times New Roman" w:hAnsi="Times New Roman" w:cs="Times New Roman"/>
          <w:color w:val="auto"/>
          <w:highlight w:val="none"/>
          <w:lang w:val="en-US" w:eastAsia="zh-CN"/>
        </w:rPr>
        <w:t>~</w:t>
      </w:r>
      <w:r>
        <w:rPr>
          <w:rFonts w:hint="eastAsia" w:ascii="Times New Roman" w:hAnsi="Times New Roman" w:cs="Times New Roman"/>
          <w:color w:val="auto"/>
          <w:highlight w:val="none"/>
          <w:lang w:val="en-US" w:eastAsia="zh-CN"/>
        </w:rPr>
        <w:t>5</w:t>
      </w:r>
      <w:r>
        <w:rPr>
          <w:rFonts w:hint="default" w:ascii="Times New Roman" w:hAnsi="Times New Roman" w:cs="Times New Roman"/>
          <w:color w:val="auto"/>
          <w:highlight w:val="none"/>
          <w:lang w:val="en-US" w:eastAsia="zh-CN"/>
        </w:rPr>
        <w:t>日</w:t>
      </w:r>
      <w:r>
        <w:rPr>
          <w:rFonts w:hint="default" w:ascii="Times New Roman" w:hAnsi="Times New Roman" w:cs="Times New Roman"/>
          <w:color w:val="auto"/>
          <w:highlight w:val="none"/>
        </w:rPr>
        <w:t>开展了本项目的</w:t>
      </w:r>
      <w:r>
        <w:rPr>
          <w:rFonts w:hint="default" w:ascii="Times New Roman" w:hAnsi="Times New Roman" w:cs="Times New Roman"/>
          <w:color w:val="auto"/>
          <w:highlight w:val="none"/>
          <w:lang w:eastAsia="zh-CN"/>
        </w:rPr>
        <w:t>现场</w:t>
      </w:r>
      <w:r>
        <w:rPr>
          <w:rFonts w:hint="default" w:ascii="Times New Roman" w:hAnsi="Times New Roman" w:cs="Times New Roman"/>
          <w:color w:val="auto"/>
          <w:highlight w:val="none"/>
        </w:rPr>
        <w:t>钻探采样</w:t>
      </w:r>
      <w:r>
        <w:rPr>
          <w:rFonts w:hint="eastAsia" w:cs="Times New Roman"/>
          <w:color w:val="auto"/>
          <w:highlight w:val="none"/>
          <w:lang w:eastAsia="zh-CN"/>
        </w:rPr>
        <w:t>和建井</w:t>
      </w:r>
      <w:r>
        <w:rPr>
          <w:rFonts w:hint="default" w:ascii="Times New Roman" w:hAnsi="Times New Roman" w:cs="Times New Roman"/>
          <w:color w:val="auto"/>
          <w:highlight w:val="none"/>
        </w:rPr>
        <w:t>工作</w:t>
      </w:r>
      <w:r>
        <w:rPr>
          <w:rFonts w:hint="eastAsia" w:cs="Times New Roman"/>
          <w:color w:val="auto"/>
          <w:highlight w:val="none"/>
          <w:lang w:val="en-US" w:eastAsia="zh-CN"/>
        </w:rPr>
        <w:t>，</w:t>
      </w:r>
      <w:r>
        <w:rPr>
          <w:rFonts w:hint="default" w:ascii="Times New Roman" w:hAnsi="Times New Roman" w:cs="Times New Roman"/>
          <w:color w:val="auto"/>
          <w:highlight w:val="none"/>
        </w:rPr>
        <w:t>地块采用系统布点法共布设</w:t>
      </w:r>
      <w:r>
        <w:rPr>
          <w:rFonts w:hint="eastAsia" w:cs="Times New Roman"/>
          <w:color w:val="auto"/>
          <w:highlight w:val="none"/>
          <w:lang w:val="en-US" w:eastAsia="zh-CN"/>
        </w:rPr>
        <w:t>6</w:t>
      </w:r>
      <w:r>
        <w:rPr>
          <w:rFonts w:hint="default" w:ascii="Times New Roman" w:hAnsi="Times New Roman" w:cs="Times New Roman"/>
          <w:color w:val="auto"/>
          <w:highlight w:val="none"/>
        </w:rPr>
        <w:t>个土壤采样点位，共采集土壤样品</w:t>
      </w:r>
      <w:r>
        <w:rPr>
          <w:rFonts w:hint="eastAsia" w:cs="Times New Roman"/>
          <w:color w:val="auto"/>
          <w:highlight w:val="none"/>
          <w:lang w:val="en-US" w:eastAsia="zh-CN"/>
        </w:rPr>
        <w:t>30</w:t>
      </w:r>
      <w:r>
        <w:rPr>
          <w:rFonts w:hint="default" w:ascii="Times New Roman" w:hAnsi="Times New Roman" w:cs="Times New Roman"/>
          <w:color w:val="auto"/>
          <w:highlight w:val="none"/>
        </w:rPr>
        <w:t>组，另有</w:t>
      </w:r>
      <w:r>
        <w:rPr>
          <w:rFonts w:hint="eastAsia" w:cs="Times New Roman"/>
          <w:color w:val="auto"/>
          <w:highlight w:val="none"/>
          <w:lang w:val="en-US" w:eastAsia="zh-CN"/>
        </w:rPr>
        <w:t>3</w:t>
      </w:r>
      <w:r>
        <w:rPr>
          <w:rFonts w:hint="default" w:ascii="Times New Roman" w:hAnsi="Times New Roman" w:cs="Times New Roman"/>
          <w:color w:val="auto"/>
          <w:highlight w:val="none"/>
        </w:rPr>
        <w:t>组现场平行样</w:t>
      </w:r>
      <w:r>
        <w:rPr>
          <w:rFonts w:hint="eastAsia" w:ascii="Times New Roman" w:hAnsi="Times New Roman" w:cs="Times New Roman"/>
          <w:color w:val="auto"/>
          <w:highlight w:val="none"/>
          <w:lang w:eastAsia="zh-CN"/>
        </w:rPr>
        <w:t>；</w:t>
      </w:r>
      <w:r>
        <w:rPr>
          <w:rFonts w:hint="default" w:cs="Times New Roman"/>
          <w:color w:val="auto"/>
          <w:highlight w:val="none"/>
          <w:lang w:val="en-US" w:eastAsia="zh-CN"/>
        </w:rPr>
        <w:t>20</w:t>
      </w:r>
      <w:r>
        <w:rPr>
          <w:rFonts w:hint="eastAsia" w:cs="Times New Roman"/>
          <w:color w:val="auto"/>
          <w:highlight w:val="none"/>
          <w:lang w:val="en-US" w:eastAsia="zh-CN"/>
        </w:rPr>
        <w:t>22</w:t>
      </w:r>
      <w:r>
        <w:rPr>
          <w:rFonts w:hint="default" w:ascii="Times New Roman" w:hAnsi="Times New Roman" w:cs="Times New Roman"/>
          <w:color w:val="auto"/>
          <w:highlight w:val="none"/>
        </w:rPr>
        <w:t>年</w:t>
      </w:r>
      <w:r>
        <w:rPr>
          <w:rFonts w:hint="eastAsia" w:cs="Times New Roman"/>
          <w:color w:val="auto"/>
          <w:highlight w:val="none"/>
          <w:lang w:val="en-US" w:eastAsia="zh-CN"/>
        </w:rPr>
        <w:t>10</w:t>
      </w:r>
      <w:r>
        <w:rPr>
          <w:rFonts w:hint="default" w:ascii="Times New Roman" w:hAnsi="Times New Roman" w:cs="Times New Roman"/>
          <w:color w:val="auto"/>
          <w:highlight w:val="none"/>
        </w:rPr>
        <w:t>月</w:t>
      </w:r>
      <w:r>
        <w:rPr>
          <w:rFonts w:hint="eastAsia" w:ascii="Times New Roman" w:hAnsi="Times New Roman" w:cs="Times New Roman"/>
          <w:color w:val="auto"/>
          <w:highlight w:val="none"/>
          <w:lang w:val="en-US" w:eastAsia="zh-CN"/>
        </w:rPr>
        <w:t>8</w:t>
      </w:r>
      <w:r>
        <w:rPr>
          <w:rFonts w:hint="default" w:ascii="Times New Roman" w:hAnsi="Times New Roman" w:cs="Times New Roman"/>
          <w:color w:val="auto"/>
          <w:highlight w:val="none"/>
        </w:rPr>
        <w:t>日</w:t>
      </w:r>
      <w:r>
        <w:rPr>
          <w:rFonts w:hint="eastAsia" w:ascii="Times New Roman" w:hAnsi="Times New Roman" w:cs="Times New Roman"/>
          <w:color w:val="auto"/>
          <w:highlight w:val="none"/>
          <w:lang w:eastAsia="zh-CN"/>
        </w:rPr>
        <w:t>对地下水监测井进行了采样，共采集地下水</w:t>
      </w:r>
      <w:r>
        <w:rPr>
          <w:rFonts w:hint="default" w:ascii="Times New Roman" w:hAnsi="Times New Roman" w:cs="Times New Roman"/>
          <w:color w:val="auto"/>
          <w:highlight w:val="none"/>
        </w:rPr>
        <w:t>样品</w:t>
      </w:r>
      <w:r>
        <w:rPr>
          <w:rFonts w:hint="eastAsia" w:cs="Times New Roman"/>
          <w:color w:val="auto"/>
          <w:highlight w:val="none"/>
          <w:lang w:val="en-US" w:eastAsia="zh-CN"/>
        </w:rPr>
        <w:t>1</w:t>
      </w:r>
      <w:r>
        <w:rPr>
          <w:rFonts w:hint="default" w:ascii="Times New Roman" w:hAnsi="Times New Roman" w:cs="Times New Roman"/>
          <w:color w:val="auto"/>
          <w:highlight w:val="none"/>
        </w:rPr>
        <w:t>组，另有</w:t>
      </w:r>
      <w:r>
        <w:rPr>
          <w:rFonts w:hint="eastAsia" w:cs="Times New Roman"/>
          <w:color w:val="auto"/>
          <w:highlight w:val="none"/>
          <w:lang w:val="en-US" w:eastAsia="zh-CN"/>
        </w:rPr>
        <w:t>1</w:t>
      </w:r>
      <w:r>
        <w:rPr>
          <w:rFonts w:hint="default" w:ascii="Times New Roman" w:hAnsi="Times New Roman" w:cs="Times New Roman"/>
          <w:color w:val="auto"/>
          <w:highlight w:val="none"/>
        </w:rPr>
        <w:t>组现场平行样</w:t>
      </w:r>
      <w:r>
        <w:rPr>
          <w:rFonts w:hint="eastAsia" w:ascii="Times New Roman" w:hAnsi="Times New Roman" w:cs="Times New Roman"/>
          <w:color w:val="auto"/>
          <w:highlight w:val="none"/>
          <w:lang w:eastAsia="zh-CN"/>
        </w:rPr>
        <w:t>。</w:t>
      </w:r>
    </w:p>
    <w:p>
      <w:pPr>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本项目调查采样全部由技术人员根据制定的采样方案进行。本项目采集的所有土壤样品全部</w:t>
      </w:r>
      <w:r>
        <w:rPr>
          <w:rFonts w:hint="default" w:cs="Times New Roman"/>
          <w:color w:val="auto"/>
          <w:highlight w:val="none"/>
          <w:lang w:eastAsia="zh-CN"/>
        </w:rPr>
        <w:t>由</w:t>
      </w:r>
      <w:r>
        <w:rPr>
          <w:rFonts w:hint="default" w:ascii="Times New Roman" w:hAnsi="Times New Roman" w:cs="Times New Roman"/>
          <w:color w:val="auto"/>
          <w:highlight w:val="none"/>
        </w:rPr>
        <w:t>经计量认证合格的河北百润环境检测技术有限公司</w:t>
      </w:r>
      <w:r>
        <w:rPr>
          <w:rFonts w:hint="default" w:cs="Times New Roman"/>
          <w:color w:val="auto"/>
          <w:highlight w:val="none"/>
          <w:lang w:eastAsia="zh-CN"/>
        </w:rPr>
        <w:t>实验室</w:t>
      </w:r>
      <w:r>
        <w:rPr>
          <w:rFonts w:hint="default" w:ascii="Times New Roman" w:hAnsi="Times New Roman" w:cs="Times New Roman"/>
          <w:color w:val="auto"/>
          <w:highlight w:val="none"/>
        </w:rPr>
        <w:t>进行检测分析，目前已提供了全部检测样品的检测报告及质控报告。</w:t>
      </w:r>
    </w:p>
    <w:p>
      <w:pPr>
        <w:pStyle w:val="4"/>
        <w:bidi w:val="0"/>
        <w:rPr>
          <w:rFonts w:hint="default" w:ascii="Times New Roman" w:hAnsi="Times New Roman" w:eastAsia="宋体" w:cs="Times New Roman"/>
          <w:color w:val="auto"/>
          <w:highlight w:val="none"/>
          <w:lang w:val="en-US" w:eastAsia="zh-CN"/>
        </w:rPr>
      </w:pPr>
      <w:bookmarkStart w:id="18" w:name="_Toc12717"/>
      <w:bookmarkStart w:id="19" w:name="_Toc24420"/>
      <w:bookmarkStart w:id="20" w:name="_Toc20227"/>
      <w:bookmarkStart w:id="21" w:name="_Toc21994"/>
      <w:bookmarkStart w:id="22" w:name="_Toc17228"/>
      <w:bookmarkStart w:id="23" w:name="_Toc1129"/>
      <w:bookmarkStart w:id="24" w:name="_Toc21599"/>
      <w:bookmarkStart w:id="25" w:name="_Toc11221"/>
      <w:r>
        <w:rPr>
          <w:rFonts w:hint="default" w:ascii="Times New Roman" w:hAnsi="Times New Roman" w:eastAsia="宋体" w:cs="Times New Roman"/>
          <w:color w:val="auto"/>
          <w:highlight w:val="none"/>
          <w:lang w:val="en-US" w:eastAsia="zh-CN"/>
        </w:rPr>
        <w:t>3 检测结果分析</w:t>
      </w:r>
      <w:bookmarkEnd w:id="18"/>
      <w:bookmarkEnd w:id="19"/>
      <w:bookmarkEnd w:id="20"/>
      <w:bookmarkEnd w:id="21"/>
      <w:bookmarkEnd w:id="22"/>
      <w:bookmarkEnd w:id="23"/>
      <w:bookmarkEnd w:id="24"/>
      <w:bookmarkEnd w:id="25"/>
    </w:p>
    <w:p>
      <w:pPr>
        <w:rPr>
          <w:rFonts w:hint="eastAsia" w:ascii="Times New Roman" w:hAnsi="Times New Roman" w:eastAsia="宋体" w:cs="Times New Roman"/>
          <w:color w:val="auto"/>
          <w:highlight w:val="none"/>
          <w:lang w:val="en-US" w:eastAsia="zh-CN"/>
        </w:rPr>
      </w:pPr>
      <w:bookmarkStart w:id="26" w:name="_Toc1746"/>
      <w:bookmarkStart w:id="27" w:name="_Toc15050"/>
      <w:bookmarkStart w:id="28" w:name="_Toc27064"/>
      <w:bookmarkStart w:id="29" w:name="_Toc19300"/>
      <w:bookmarkStart w:id="30" w:name="_Toc10514"/>
      <w:bookmarkStart w:id="31" w:name="_Toc16526"/>
      <w:r>
        <w:rPr>
          <w:rFonts w:hint="default" w:ascii="Times New Roman" w:hAnsi="Times New Roman" w:cs="Times New Roman"/>
          <w:color w:val="auto"/>
          <w:highlight w:val="none"/>
          <w:lang w:val="en-US" w:eastAsia="zh-CN"/>
        </w:rPr>
        <w:t>根据地块土壤样品检测结果，地块内</w:t>
      </w:r>
      <w:r>
        <w:rPr>
          <w:rFonts w:hint="default" w:ascii="Times New Roman" w:hAnsi="Times New Roman" w:cs="Times New Roman"/>
          <w:color w:val="auto"/>
          <w:highlight w:val="none"/>
          <w:lang w:eastAsia="zh-CN"/>
        </w:rPr>
        <w:t>测定的</w:t>
      </w:r>
      <w:r>
        <w:rPr>
          <w:rFonts w:hint="eastAsia" w:cs="Times New Roman"/>
          <w:color w:val="auto"/>
          <w:highlight w:val="none"/>
          <w:lang w:val="en-US" w:eastAsia="zh-CN"/>
        </w:rPr>
        <w:t>6</w:t>
      </w:r>
      <w:r>
        <w:rPr>
          <w:rFonts w:hint="default" w:ascii="Times New Roman" w:hAnsi="Times New Roman" w:cs="Times New Roman"/>
          <w:color w:val="auto"/>
          <w:highlight w:val="none"/>
          <w:lang w:val="en-US" w:eastAsia="zh-CN"/>
        </w:rPr>
        <w:t>个</w:t>
      </w:r>
      <w:r>
        <w:rPr>
          <w:rFonts w:hint="default" w:cs="Times New Roman"/>
          <w:color w:val="auto"/>
          <w:highlight w:val="none"/>
          <w:lang w:val="en-US" w:eastAsia="zh-CN"/>
        </w:rPr>
        <w:t>采样</w:t>
      </w:r>
      <w:r>
        <w:rPr>
          <w:rFonts w:hint="default" w:ascii="Times New Roman" w:hAnsi="Times New Roman" w:cs="Times New Roman"/>
          <w:color w:val="auto"/>
          <w:highlight w:val="none"/>
          <w:lang w:val="en-US" w:eastAsia="zh-CN"/>
        </w:rPr>
        <w:t>点位</w:t>
      </w:r>
      <w:r>
        <w:rPr>
          <w:rFonts w:hint="eastAsia" w:cs="Times New Roman"/>
          <w:color w:val="auto"/>
          <w:highlight w:val="none"/>
          <w:lang w:val="en-US" w:eastAsia="zh-CN"/>
        </w:rPr>
        <w:t>30</w:t>
      </w:r>
      <w:r>
        <w:rPr>
          <w:rFonts w:hint="default" w:cs="Times New Roman"/>
          <w:color w:val="auto"/>
          <w:highlight w:val="none"/>
          <w:lang w:val="en-US" w:eastAsia="zh-CN"/>
        </w:rPr>
        <w:t>个样品中，</w:t>
      </w:r>
      <w:r>
        <w:rPr>
          <w:rFonts w:hint="eastAsia" w:ascii="Times New Roman" w:hAnsi="Times New Roman" w:eastAsia="宋体" w:cs="Times New Roman"/>
          <w:color w:val="auto"/>
          <w:highlight w:val="none"/>
          <w:lang w:val="en-US" w:eastAsia="zh-CN"/>
        </w:rPr>
        <w:t>本所有样品中</w:t>
      </w:r>
      <w:r>
        <w:rPr>
          <w:rFonts w:hint="default" w:ascii="Times New Roman" w:hAnsi="Times New Roman" w:eastAsia="宋体" w:cs="Times New Roman"/>
          <w:color w:val="auto"/>
          <w:highlight w:val="none"/>
          <w:lang w:val="en-US" w:eastAsia="zh-CN"/>
        </w:rPr>
        <w:t>重金属因子</w:t>
      </w:r>
      <w:r>
        <w:rPr>
          <w:rFonts w:hint="eastAsia" w:ascii="Times New Roman" w:hAnsi="Times New Roman" w:eastAsia="宋体" w:cs="Times New Roman"/>
          <w:color w:val="auto"/>
          <w:highlight w:val="none"/>
          <w:lang w:val="en-US" w:eastAsia="zh-CN"/>
        </w:rPr>
        <w:t>除六价铬外</w:t>
      </w:r>
      <w:r>
        <w:rPr>
          <w:rFonts w:hint="default" w:ascii="Times New Roman" w:hAnsi="Times New Roman" w:eastAsia="宋体" w:cs="Times New Roman"/>
          <w:color w:val="auto"/>
          <w:highlight w:val="none"/>
          <w:lang w:val="en-US" w:eastAsia="zh-CN"/>
        </w:rPr>
        <w:t>均有检出，但各检出因子的最大浓度均未超过本次地块土壤污染</w:t>
      </w:r>
      <w:r>
        <w:rPr>
          <w:rFonts w:hint="eastAsia" w:ascii="Times New Roman" w:hAnsi="Times New Roman" w:eastAsia="宋体" w:cs="Times New Roman"/>
          <w:color w:val="auto"/>
          <w:highlight w:val="none"/>
          <w:lang w:val="en-US" w:eastAsia="zh-CN"/>
        </w:rPr>
        <w:t>状况</w:t>
      </w:r>
      <w:r>
        <w:rPr>
          <w:rFonts w:hint="default" w:ascii="Times New Roman" w:hAnsi="Times New Roman" w:eastAsia="宋体" w:cs="Times New Roman"/>
          <w:color w:val="auto"/>
          <w:highlight w:val="none"/>
          <w:lang w:val="en-US" w:eastAsia="zh-CN"/>
        </w:rPr>
        <w:t>调查所选用的筛选值，六价铬</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VOCs</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SVOCs</w:t>
      </w:r>
      <w:r>
        <w:rPr>
          <w:rFonts w:hint="eastAsia" w:ascii="Times New Roman" w:hAnsi="Times New Roman" w:eastAsia="宋体" w:cs="Times New Roman"/>
          <w:color w:val="auto"/>
          <w:highlight w:val="none"/>
          <w:lang w:val="en-US" w:eastAsia="zh-CN"/>
        </w:rPr>
        <w:t>未检出；</w:t>
      </w:r>
      <w:r>
        <w:rPr>
          <w:rFonts w:hint="eastAsia" w:cs="Times New Roman"/>
          <w:color w:val="auto"/>
          <w:highlight w:val="none"/>
          <w:lang w:val="en-US" w:eastAsia="zh-CN"/>
        </w:rPr>
        <w:t>其他特征因子中除氨氮及石油烃</w:t>
      </w:r>
      <w:r>
        <w:rPr>
          <w:rFonts w:hint="default" w:ascii="Times New Roman" w:hAnsi="Times New Roman" w:cs="Times New Roman"/>
          <w:color w:val="auto"/>
          <w:highlight w:val="none"/>
          <w:lang w:val="en-US" w:eastAsia="zh-CN"/>
        </w:rPr>
        <w:t>（C</w:t>
      </w:r>
      <w:r>
        <w:rPr>
          <w:rFonts w:hint="default" w:ascii="Times New Roman" w:hAnsi="Times New Roman" w:cs="Times New Roman"/>
          <w:color w:val="auto"/>
          <w:highlight w:val="none"/>
          <w:vertAlign w:val="subscript"/>
          <w:lang w:val="en-US" w:eastAsia="zh-CN"/>
        </w:rPr>
        <w:t>10</w:t>
      </w:r>
      <w:r>
        <w:rPr>
          <w:rFonts w:hint="default" w:ascii="Times New Roman" w:hAnsi="Times New Roman" w:cs="Times New Roman"/>
          <w:color w:val="auto"/>
          <w:highlight w:val="none"/>
          <w:lang w:val="en-US" w:eastAsia="zh-CN"/>
        </w:rPr>
        <w:t>-C</w:t>
      </w:r>
      <w:r>
        <w:rPr>
          <w:rFonts w:hint="default" w:ascii="Times New Roman" w:hAnsi="Times New Roman" w:cs="Times New Roman"/>
          <w:color w:val="auto"/>
          <w:highlight w:val="none"/>
          <w:vertAlign w:val="subscript"/>
          <w:lang w:val="en-US" w:eastAsia="zh-CN"/>
        </w:rPr>
        <w:t>40</w:t>
      </w:r>
      <w:r>
        <w:rPr>
          <w:rFonts w:hint="default" w:ascii="Times New Roman" w:hAnsi="Times New Roman" w:cs="Times New Roman"/>
          <w:color w:val="auto"/>
          <w:highlight w:val="none"/>
          <w:lang w:val="en-US" w:eastAsia="zh-CN"/>
        </w:rPr>
        <w:t>）</w:t>
      </w:r>
      <w:r>
        <w:rPr>
          <w:rFonts w:hint="eastAsia" w:cs="Times New Roman"/>
          <w:color w:val="auto"/>
          <w:highlight w:val="none"/>
          <w:lang w:val="en-US" w:eastAsia="zh-CN"/>
        </w:rPr>
        <w:t>有轻微检出外，</w:t>
      </w:r>
      <w:r>
        <w:rPr>
          <w:rFonts w:hint="default" w:ascii="Times New Roman" w:hAnsi="Times New Roman" w:eastAsia="宋体" w:cs="Times New Roman"/>
          <w:color w:val="auto"/>
          <w:highlight w:val="none"/>
          <w:lang w:val="en-US" w:eastAsia="zh-CN"/>
        </w:rPr>
        <w:t>各检出因子的最大浓度均未超过本次地块土壤污染</w:t>
      </w:r>
      <w:r>
        <w:rPr>
          <w:rFonts w:hint="eastAsia" w:ascii="Times New Roman" w:hAnsi="Times New Roman" w:eastAsia="宋体" w:cs="Times New Roman"/>
          <w:color w:val="auto"/>
          <w:highlight w:val="none"/>
          <w:lang w:val="en-US" w:eastAsia="zh-CN"/>
        </w:rPr>
        <w:t>状况</w:t>
      </w:r>
      <w:r>
        <w:rPr>
          <w:rFonts w:hint="default" w:ascii="Times New Roman" w:hAnsi="Times New Roman" w:eastAsia="宋体" w:cs="Times New Roman"/>
          <w:color w:val="auto"/>
          <w:highlight w:val="none"/>
          <w:lang w:val="en-US" w:eastAsia="zh-CN"/>
        </w:rPr>
        <w:t>调查所选用的筛选值</w:t>
      </w:r>
      <w:r>
        <w:rPr>
          <w:rFonts w:hint="eastAsia" w:cs="Times New Roman"/>
          <w:color w:val="auto"/>
          <w:highlight w:val="none"/>
          <w:lang w:val="en-US" w:eastAsia="zh-CN"/>
        </w:rPr>
        <w:t>，其他特征因子均未检出，</w:t>
      </w:r>
      <w:r>
        <w:rPr>
          <w:rFonts w:hint="eastAsia" w:ascii="Times New Roman" w:hAnsi="Times New Roman" w:eastAsia="宋体" w:cs="Times New Roman"/>
          <w:color w:val="auto"/>
          <w:highlight w:val="none"/>
          <w:lang w:val="en-US" w:eastAsia="zh-CN"/>
        </w:rPr>
        <w:t>综上，地块内土壤质量均符合</w:t>
      </w:r>
      <w:r>
        <w:rPr>
          <w:rFonts w:hint="default" w:ascii="Times New Roman" w:hAnsi="Times New Roman" w:eastAsia="宋体" w:cs="Times New Roman"/>
          <w:color w:val="auto"/>
          <w:highlight w:val="none"/>
          <w:lang w:val="en-US" w:eastAsia="zh-CN"/>
        </w:rPr>
        <w:t>《土壤环境质量 建设用地土壤污染风险管控标准（试行）》（GB 36600</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2018）</w:t>
      </w:r>
      <w:r>
        <w:rPr>
          <w:rFonts w:hint="eastAsia" w:cs="Times New Roman"/>
          <w:color w:val="auto"/>
          <w:highlight w:val="none"/>
          <w:lang w:val="en-US" w:eastAsia="zh-CN"/>
        </w:rPr>
        <w:t>及《建设用地土壤污染风险筛选值》（DB 13/T 5216-2020）</w:t>
      </w:r>
      <w:r>
        <w:rPr>
          <w:rFonts w:hint="default" w:ascii="Times New Roman" w:hAnsi="Times New Roman" w:eastAsia="宋体" w:cs="Times New Roman"/>
          <w:color w:val="auto"/>
          <w:highlight w:val="none"/>
          <w:lang w:val="en-US" w:eastAsia="zh-CN"/>
        </w:rPr>
        <w:t>中第</w:t>
      </w:r>
      <w:r>
        <w:rPr>
          <w:rFonts w:hint="eastAsia" w:ascii="Times New Roman" w:hAnsi="Times New Roman" w:eastAsia="宋体" w:cs="Times New Roman"/>
          <w:color w:val="auto"/>
          <w:highlight w:val="none"/>
          <w:lang w:val="en-US" w:eastAsia="zh-CN"/>
        </w:rPr>
        <w:t>一</w:t>
      </w:r>
      <w:r>
        <w:rPr>
          <w:rFonts w:hint="default" w:ascii="Times New Roman" w:hAnsi="Times New Roman" w:eastAsia="宋体" w:cs="Times New Roman"/>
          <w:color w:val="auto"/>
          <w:highlight w:val="none"/>
          <w:lang w:val="en-US" w:eastAsia="zh-CN"/>
        </w:rPr>
        <w:t>类用地</w:t>
      </w:r>
      <w:r>
        <w:rPr>
          <w:rFonts w:hint="eastAsia" w:ascii="Times New Roman" w:hAnsi="Times New Roman" w:eastAsia="宋体" w:cs="Times New Roman"/>
          <w:color w:val="auto"/>
          <w:highlight w:val="none"/>
          <w:lang w:val="en-US" w:eastAsia="zh-CN"/>
        </w:rPr>
        <w:t>质量标准。</w:t>
      </w:r>
    </w:p>
    <w:p>
      <w:pP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根据地块</w:t>
      </w:r>
      <w:r>
        <w:rPr>
          <w:rFonts w:hint="eastAsia" w:ascii="Times New Roman" w:hAnsi="Times New Roman" w:cs="Times New Roman"/>
          <w:color w:val="auto"/>
          <w:highlight w:val="none"/>
          <w:lang w:val="en-US" w:eastAsia="zh-CN"/>
        </w:rPr>
        <w:t>地下水</w:t>
      </w:r>
      <w:r>
        <w:rPr>
          <w:rFonts w:hint="default" w:ascii="Times New Roman" w:hAnsi="Times New Roman" w:cs="Times New Roman"/>
          <w:color w:val="auto"/>
          <w:highlight w:val="none"/>
          <w:lang w:val="en-US" w:eastAsia="zh-CN"/>
        </w:rPr>
        <w:t>样品检测结果</w:t>
      </w:r>
      <w:r>
        <w:rPr>
          <w:rFonts w:hint="eastAsia" w:ascii="Times New Roman" w:hAnsi="Times New Roman" w:cs="Times New Roman"/>
          <w:color w:val="auto"/>
          <w:highlight w:val="none"/>
          <w:lang w:val="en-US" w:eastAsia="zh-CN"/>
        </w:rPr>
        <w:t>，</w:t>
      </w:r>
      <w:r>
        <w:rPr>
          <w:rFonts w:hint="eastAsia" w:ascii="Times New Roman" w:hAnsi="Times New Roman" w:eastAsia="宋体" w:cs="Times New Roman"/>
          <w:bCs/>
          <w:color w:val="auto"/>
          <w:kern w:val="2"/>
          <w:sz w:val="24"/>
          <w:szCs w:val="24"/>
          <w:highlight w:val="none"/>
          <w:lang w:val="en-US" w:eastAsia="zh-CN" w:bidi="ar-SA"/>
        </w:rPr>
        <w:t>地块内有检出的因子包括pH</w:t>
      </w:r>
      <w:r>
        <w:rPr>
          <w:rFonts w:hint="eastAsia"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耗氧量</w:t>
      </w:r>
      <w:r>
        <w:rPr>
          <w:rFonts w:hint="eastAsia"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溶解性总固体</w:t>
      </w:r>
      <w:r>
        <w:rPr>
          <w:rFonts w:hint="eastAsia"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总硬度</w:t>
      </w:r>
      <w:r>
        <w:rPr>
          <w:rFonts w:hint="eastAsia"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硫酸盐</w:t>
      </w:r>
      <w:r>
        <w:rPr>
          <w:rFonts w:hint="eastAsia"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氯化物</w:t>
      </w:r>
      <w:r>
        <w:rPr>
          <w:rFonts w:hint="eastAsia"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氟化物</w:t>
      </w:r>
      <w:r>
        <w:rPr>
          <w:rFonts w:hint="eastAsia"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亚硝酸盐（以N计）</w:t>
      </w:r>
      <w:r>
        <w:rPr>
          <w:rFonts w:hint="eastAsia"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硝酸盐（以N计）</w:t>
      </w:r>
      <w:r>
        <w:rPr>
          <w:rFonts w:hint="eastAsia"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钠</w:t>
      </w:r>
      <w:r>
        <w:rPr>
          <w:rFonts w:hint="eastAsia"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铁</w:t>
      </w:r>
      <w:r>
        <w:rPr>
          <w:rFonts w:hint="eastAsia"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铝</w:t>
      </w:r>
      <w:r>
        <w:rPr>
          <w:rFonts w:hint="eastAsia"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砷，其</w:t>
      </w:r>
      <w:r>
        <w:rPr>
          <w:rFonts w:hint="eastAsia" w:cs="Times New Roman"/>
          <w:bCs/>
          <w:color w:val="auto"/>
          <w:kern w:val="2"/>
          <w:sz w:val="24"/>
          <w:szCs w:val="24"/>
          <w:highlight w:val="none"/>
          <w:lang w:val="en-US" w:eastAsia="zh-CN" w:bidi="ar-SA"/>
        </w:rPr>
        <w:t>检测结果均未</w:t>
      </w:r>
      <w:r>
        <w:rPr>
          <w:rFonts w:hint="eastAsia" w:ascii="Times New Roman" w:hAnsi="Times New Roman" w:eastAsia="宋体" w:cs="Times New Roman"/>
          <w:bCs/>
          <w:color w:val="auto"/>
          <w:kern w:val="2"/>
          <w:sz w:val="24"/>
          <w:szCs w:val="24"/>
          <w:highlight w:val="none"/>
          <w:lang w:val="en-US" w:eastAsia="zh-CN" w:bidi="ar-SA"/>
        </w:rPr>
        <w:t>超出《地下水质量标准》（GB/T 14848-2017）Ⅲ类标准。</w:t>
      </w:r>
      <w:r>
        <w:rPr>
          <w:rFonts w:hint="eastAsia" w:cs="Times New Roman"/>
          <w:bCs/>
          <w:color w:val="auto"/>
          <w:kern w:val="2"/>
          <w:sz w:val="24"/>
          <w:szCs w:val="24"/>
          <w:highlight w:val="none"/>
          <w:lang w:val="en-US" w:eastAsia="zh-CN" w:bidi="ar-SA"/>
        </w:rPr>
        <w:t>地块所在区域地下水环境质量状况良好</w:t>
      </w:r>
      <w:r>
        <w:rPr>
          <w:rFonts w:hint="eastAsia" w:ascii="Times New Roman" w:hAnsi="Times New Roman" w:eastAsia="宋体" w:cs="Times New Roman"/>
          <w:bCs/>
          <w:color w:val="auto"/>
          <w:kern w:val="2"/>
          <w:sz w:val="24"/>
          <w:szCs w:val="24"/>
          <w:highlight w:val="none"/>
          <w:lang w:val="en-US" w:eastAsia="zh-CN" w:bidi="ar-SA"/>
        </w:rPr>
        <w:t>。</w:t>
      </w:r>
    </w:p>
    <w:p>
      <w:pPr>
        <w:pStyle w:val="4"/>
        <w:bidi w:val="0"/>
        <w:rPr>
          <w:rFonts w:hint="default" w:ascii="Times New Roman" w:hAnsi="Times New Roman" w:eastAsia="宋体" w:cs="Times New Roman"/>
          <w:color w:val="auto"/>
          <w:highlight w:val="none"/>
          <w:lang w:val="en-US" w:eastAsia="zh-CN"/>
        </w:rPr>
      </w:pPr>
      <w:bookmarkStart w:id="32" w:name="_Toc27610"/>
      <w:bookmarkStart w:id="33" w:name="_Toc4413"/>
      <w:bookmarkStart w:id="34" w:name="_Toc21830"/>
      <w:r>
        <w:rPr>
          <w:rFonts w:hint="default" w:ascii="Times New Roman" w:hAnsi="Times New Roman" w:eastAsia="宋体" w:cs="Times New Roman"/>
          <w:color w:val="auto"/>
          <w:highlight w:val="none"/>
          <w:lang w:val="en-US" w:eastAsia="zh-CN"/>
        </w:rPr>
        <w:t>4 调查结论</w:t>
      </w:r>
      <w:bookmarkEnd w:id="26"/>
      <w:bookmarkEnd w:id="27"/>
      <w:bookmarkEnd w:id="28"/>
      <w:bookmarkEnd w:id="29"/>
      <w:bookmarkEnd w:id="30"/>
      <w:bookmarkEnd w:id="31"/>
      <w:bookmarkEnd w:id="32"/>
      <w:bookmarkEnd w:id="33"/>
      <w:bookmarkEnd w:id="34"/>
    </w:p>
    <w:p>
      <w:pP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综合检测结果，</w:t>
      </w:r>
      <w:r>
        <w:rPr>
          <w:rFonts w:hint="default" w:ascii="Times New Roman" w:hAnsi="Times New Roman" w:cs="Times New Roman"/>
          <w:color w:val="auto"/>
          <w:highlight w:val="none"/>
          <w:lang w:val="en-US" w:eastAsia="zh-CN"/>
        </w:rPr>
        <w:t>地块</w:t>
      </w:r>
      <w:r>
        <w:rPr>
          <w:rFonts w:hint="eastAsia" w:ascii="Times New Roman" w:hAnsi="Times New Roman" w:cs="Times New Roman"/>
          <w:color w:val="auto"/>
          <w:highlight w:val="none"/>
          <w:lang w:val="en-US" w:eastAsia="zh-CN"/>
        </w:rPr>
        <w:t>内所有土壤及地下水样品的检测结果均</w:t>
      </w:r>
      <w:r>
        <w:rPr>
          <w:rFonts w:hint="default" w:ascii="Times New Roman" w:hAnsi="Times New Roman" w:cs="Times New Roman"/>
          <w:color w:val="auto"/>
          <w:highlight w:val="none"/>
          <w:lang w:val="en-US" w:eastAsia="zh-CN"/>
        </w:rPr>
        <w:t>满足《土壤环境质量 建设用地土壤污染风险管控标准（试行）》（GB 36600</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2018）中第</w:t>
      </w:r>
      <w:r>
        <w:rPr>
          <w:rFonts w:hint="eastAsia" w:ascii="Times New Roman" w:hAnsi="Times New Roman" w:cs="Times New Roman"/>
          <w:color w:val="auto"/>
          <w:highlight w:val="none"/>
          <w:lang w:val="en-US" w:eastAsia="zh-CN"/>
        </w:rPr>
        <w:t>一</w:t>
      </w:r>
      <w:r>
        <w:rPr>
          <w:rFonts w:hint="default" w:ascii="Times New Roman" w:hAnsi="Times New Roman" w:cs="Times New Roman"/>
          <w:color w:val="auto"/>
          <w:highlight w:val="none"/>
          <w:lang w:val="en-US" w:eastAsia="zh-CN"/>
        </w:rPr>
        <w:t>类用地，</w:t>
      </w:r>
      <w:r>
        <w:rPr>
          <w:rFonts w:hint="eastAsia" w:ascii="Times New Roman" w:hAnsi="Times New Roman" w:cs="Times New Roman"/>
          <w:color w:val="auto"/>
          <w:highlight w:val="none"/>
          <w:lang w:val="en-US" w:eastAsia="zh-CN"/>
        </w:rPr>
        <w:t>本项目地块不属于污染地块</w:t>
      </w:r>
      <w:r>
        <w:rPr>
          <w:rFonts w:hint="default" w:ascii="Times New Roman" w:hAnsi="Times New Roman" w:cs="Times New Roman"/>
          <w:color w:val="auto"/>
          <w:highlight w:val="none"/>
          <w:lang w:val="en-US" w:eastAsia="zh-CN"/>
        </w:rPr>
        <w:t>。根据《建设用地土壤污染状况调查技术导则》（HJ 25.1</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2019），地块调查工作到该阶段（技术路线第二阶段）结束。</w:t>
      </w:r>
      <w:r>
        <w:rPr>
          <w:rFonts w:hint="eastAsia" w:ascii="Times New Roman" w:hAnsi="Times New Roman" w:cs="Times New Roman"/>
          <w:color w:val="auto"/>
          <w:highlight w:val="none"/>
          <w:lang w:val="en-US" w:eastAsia="zh-CN"/>
        </w:rPr>
        <w:t>河北野风文化传播有限公司地块（宗地号130130001026GB00021）规划为中小学用地，</w:t>
      </w:r>
      <w:r>
        <w:rPr>
          <w:rFonts w:hint="default" w:ascii="Times New Roman" w:hAnsi="Times New Roman" w:cs="Times New Roman"/>
          <w:color w:val="auto"/>
          <w:highlight w:val="none"/>
          <w:lang w:val="en-US" w:eastAsia="zh-CN"/>
        </w:rPr>
        <w:t>本地块</w:t>
      </w:r>
      <w:r>
        <w:rPr>
          <w:rFonts w:hint="eastAsia" w:ascii="Times New Roman" w:hAnsi="Times New Roman" w:cs="Times New Roman"/>
          <w:color w:val="auto"/>
          <w:highlight w:val="none"/>
          <w:lang w:val="en-US" w:eastAsia="zh-CN"/>
        </w:rPr>
        <w:t>土壤环境质量</w:t>
      </w:r>
      <w:r>
        <w:rPr>
          <w:rFonts w:hint="default" w:ascii="Times New Roman" w:hAnsi="Times New Roman" w:cs="Times New Roman"/>
          <w:color w:val="auto"/>
          <w:highlight w:val="none"/>
          <w:lang w:val="en-US" w:eastAsia="zh-CN"/>
        </w:rPr>
        <w:t>达到</w:t>
      </w:r>
      <w:r>
        <w:rPr>
          <w:rFonts w:hint="eastAsia" w:ascii="Times New Roman" w:hAnsi="Times New Roman" w:cs="Times New Roman"/>
          <w:color w:val="auto"/>
          <w:highlight w:val="none"/>
          <w:lang w:val="en-US" w:eastAsia="zh-CN"/>
        </w:rPr>
        <w:t>中小学用地</w:t>
      </w:r>
      <w:r>
        <w:rPr>
          <w:rFonts w:hint="default" w:ascii="Times New Roman" w:hAnsi="Times New Roman" w:cs="Times New Roman"/>
          <w:color w:val="auto"/>
          <w:highlight w:val="none"/>
          <w:lang w:val="en-US" w:eastAsia="zh-CN"/>
        </w:rPr>
        <w:t>标准，因此本</w:t>
      </w:r>
      <w:r>
        <w:rPr>
          <w:rFonts w:hint="eastAsia" w:ascii="Times New Roman" w:hAnsi="Times New Roman" w:cs="Times New Roman"/>
          <w:color w:val="auto"/>
          <w:highlight w:val="none"/>
          <w:lang w:val="en-US" w:eastAsia="zh-CN"/>
        </w:rPr>
        <w:t>地块</w:t>
      </w:r>
      <w:r>
        <w:rPr>
          <w:rFonts w:hint="default" w:ascii="Times New Roman" w:hAnsi="Times New Roman" w:cs="Times New Roman"/>
          <w:color w:val="auto"/>
          <w:highlight w:val="none"/>
          <w:lang w:val="en-US" w:eastAsia="zh-CN"/>
        </w:rPr>
        <w:t>可作为</w:t>
      </w:r>
      <w:r>
        <w:rPr>
          <w:rFonts w:hint="eastAsia" w:ascii="Times New Roman" w:hAnsi="Times New Roman" w:cs="Times New Roman"/>
          <w:color w:val="auto"/>
          <w:highlight w:val="none"/>
          <w:lang w:val="en-US" w:eastAsia="zh-CN"/>
        </w:rPr>
        <w:t>中小学用地使用</w:t>
      </w:r>
      <w:r>
        <w:rPr>
          <w:rFonts w:hint="default" w:ascii="Times New Roman" w:hAnsi="Times New Roman" w:cs="Times New Roman"/>
          <w:color w:val="auto"/>
          <w:highlight w:val="none"/>
          <w:lang w:val="en-US" w:eastAsia="zh-CN"/>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yNjE0YjRmN2JhYzE4NzA2ZTRiYWJjZmYyYTI3MjQifQ=="/>
  </w:docVars>
  <w:rsids>
    <w:rsidRoot w:val="2F0E60C7"/>
    <w:rsid w:val="2F0E60C7"/>
    <w:rsid w:val="44ED1BAA"/>
    <w:rsid w:val="4BDF0B4C"/>
    <w:rsid w:val="53BA3F26"/>
    <w:rsid w:val="62324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黑体"/>
      <w:kern w:val="2"/>
      <w:sz w:val="24"/>
      <w:szCs w:val="24"/>
      <w:lang w:val="en-US" w:eastAsia="zh-CN" w:bidi="ar-SA"/>
    </w:rPr>
  </w:style>
  <w:style w:type="paragraph" w:styleId="3">
    <w:name w:val="heading 1"/>
    <w:basedOn w:val="1"/>
    <w:next w:val="1"/>
    <w:qFormat/>
    <w:uiPriority w:val="0"/>
    <w:pPr>
      <w:keepNext/>
      <w:keepLines/>
      <w:spacing w:before="50" w:after="180" w:line="480" w:lineRule="exact"/>
      <w:ind w:firstLine="0" w:firstLineChars="0"/>
      <w:jc w:val="left"/>
      <w:outlineLvl w:val="0"/>
    </w:pPr>
    <w:rPr>
      <w:rFonts w:ascii="Times New Roman" w:hAnsi="Times New Roman" w:eastAsia="宋体" w:cs="黑体"/>
      <w:b/>
      <w:kern w:val="44"/>
      <w:sz w:val="32"/>
    </w:rPr>
  </w:style>
  <w:style w:type="paragraph" w:styleId="4">
    <w:name w:val="heading 2"/>
    <w:basedOn w:val="3"/>
    <w:next w:val="5"/>
    <w:link w:val="12"/>
    <w:semiHidden/>
    <w:unhideWhenUsed/>
    <w:qFormat/>
    <w:uiPriority w:val="0"/>
    <w:pPr>
      <w:spacing w:before="50" w:after="120"/>
      <w:outlineLvl w:val="1"/>
    </w:pPr>
    <w:rPr>
      <w:rFonts w:ascii="Times New Roman" w:hAnsi="Times New Roman" w:eastAsia="宋体" w:cs="Times New Roman"/>
      <w:bCs/>
      <w:sz w:val="30"/>
      <w:szCs w:val="32"/>
    </w:rPr>
  </w:style>
  <w:style w:type="paragraph" w:styleId="5">
    <w:name w:val="heading 3"/>
    <w:basedOn w:val="4"/>
    <w:next w:val="6"/>
    <w:semiHidden/>
    <w:unhideWhenUsed/>
    <w:qFormat/>
    <w:uiPriority w:val="0"/>
    <w:pPr>
      <w:keepNext/>
      <w:keepLines/>
      <w:spacing w:before="260" w:beforeLines="0" w:beforeAutospacing="0" w:after="260" w:afterLines="0" w:afterAutospacing="0" w:line="413" w:lineRule="auto"/>
      <w:outlineLvl w:val="2"/>
    </w:pPr>
    <w:rPr>
      <w:sz w:val="32"/>
    </w:rPr>
  </w:style>
  <w:style w:type="paragraph" w:styleId="6">
    <w:name w:val="heading 4"/>
    <w:basedOn w:val="1"/>
    <w:next w:val="1"/>
    <w:semiHidden/>
    <w:unhideWhenUsed/>
    <w:qFormat/>
    <w:uiPriority w:val="0"/>
    <w:pPr>
      <w:keepNext/>
      <w:keepLines/>
      <w:ind w:firstLine="0" w:firstLineChars="0"/>
      <w:jc w:val="left"/>
      <w:outlineLvl w:val="3"/>
    </w:pPr>
    <w:rPr>
      <w:rFonts w:ascii="Times New Roman" w:hAnsi="Times New Roman" w:eastAsia="Times New Roman" w:cs="黑体"/>
      <w:b/>
      <w:sz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39"/>
    <w:pPr>
      <w:tabs>
        <w:tab w:val="right" w:leader="dot" w:pos="8302"/>
      </w:tabs>
      <w:spacing w:line="480" w:lineRule="exact"/>
      <w:ind w:left="420" w:leftChars="200"/>
    </w:pPr>
    <w:rPr>
      <w:b/>
    </w:rPr>
  </w:style>
  <w:style w:type="paragraph" w:styleId="7">
    <w:name w:val="Normal Indent"/>
    <w:basedOn w:val="1"/>
    <w:next w:val="6"/>
    <w:qFormat/>
    <w:uiPriority w:val="0"/>
    <w:pPr>
      <w:ind w:firstLine="420"/>
    </w:pPr>
  </w:style>
  <w:style w:type="paragraph" w:styleId="8">
    <w:name w:val="Body Text"/>
    <w:basedOn w:val="1"/>
    <w:qFormat/>
    <w:uiPriority w:val="0"/>
    <w:pPr>
      <w:snapToGrid w:val="0"/>
      <w:jc w:val="center"/>
    </w:pPr>
    <w:rPr>
      <w:rFonts w:ascii="Arial" w:hAnsi="Arial"/>
      <w:szCs w:val="20"/>
    </w:rPr>
  </w:style>
  <w:style w:type="paragraph" w:styleId="9">
    <w:name w:val="Normal (Web)"/>
    <w:basedOn w:val="1"/>
    <w:qFormat/>
    <w:uiPriority w:val="99"/>
    <w:pPr>
      <w:widowControl/>
      <w:spacing w:before="100" w:beforeAutospacing="1" w:after="100" w:afterAutospacing="1"/>
      <w:jc w:val="left"/>
    </w:pPr>
    <w:rPr>
      <w:rFonts w:ascii="宋体" w:hAnsi="宋体" w:cs="宋体"/>
      <w:kern w:val="0"/>
    </w:rPr>
  </w:style>
  <w:style w:type="character" w:customStyle="1" w:styleId="12">
    <w:name w:val="标题 2 字符"/>
    <w:link w:val="4"/>
    <w:qFormat/>
    <w:uiPriority w:val="0"/>
    <w:rPr>
      <w:rFonts w:ascii="Times New Roman" w:hAnsi="Times New Roman" w:eastAsia="宋体" w:cs="Times New Roman"/>
      <w:b/>
      <w:bCs/>
      <w:sz w:val="30"/>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2022-11-12T03:57:00Z</dcterms:created>
  <dc:creator>小雨</dc:creator>
  <cp:lastModifiedBy>小雨</cp:lastModifiedBy>
  <dcterms:modified xsi:type="dcterms:W3CDTF">2022-11-12T03:59:59Z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842B7D08539E4BC88C622071002A39B1</vt:lpwstr>
  </property>
</Properties>
</file>