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240" w:afterLines="100"/>
        <w:ind w:firstLine="0" w:firstLineChars="0"/>
        <w:jc w:val="both"/>
        <w:rPr>
          <w:rFonts w:cs="Times New Roman"/>
          <w:b/>
          <w:bCs/>
          <w:color w:val="0070C0"/>
          <w:sz w:val="36"/>
          <w:szCs w:val="36"/>
        </w:rPr>
      </w:pPr>
    </w:p>
    <w:p>
      <w:pPr>
        <w:spacing w:after="240" w:afterLines="100"/>
        <w:ind w:firstLine="0" w:firstLineChars="0"/>
        <w:jc w:val="center"/>
        <w:rPr>
          <w:rFonts w:cs="Times New Roman"/>
          <w:b/>
          <w:bCs/>
          <w:color w:val="0070C0"/>
          <w:sz w:val="36"/>
          <w:szCs w:val="36"/>
        </w:rPr>
      </w:pPr>
    </w:p>
    <w:p>
      <w:pPr>
        <w:pStyle w:val="6"/>
        <w:topLinePunct/>
        <w:spacing w:line="1000" w:lineRule="exact"/>
        <w:ind w:firstLine="0" w:firstLineChars="0"/>
        <w:rPr>
          <w:rFonts w:hint="eastAsia" w:ascii="宋体" w:hAnsi="宋体" w:eastAsia="宋体" w:cs="宋体"/>
          <w:b/>
          <w:bCs/>
          <w:color w:val="auto"/>
          <w:spacing w:val="20"/>
          <w:sz w:val="48"/>
          <w:szCs w:val="48"/>
          <w:lang w:eastAsia="zh-CN"/>
        </w:rPr>
      </w:pPr>
      <w:r>
        <w:rPr>
          <w:rFonts w:hint="eastAsia" w:ascii="宋体" w:hAnsi="宋体" w:cs="宋体"/>
          <w:b/>
          <w:bCs/>
          <w:color w:val="auto"/>
          <w:spacing w:val="20"/>
          <w:sz w:val="48"/>
          <w:szCs w:val="48"/>
          <w:lang w:eastAsia="zh-CN"/>
        </w:rPr>
        <w:t>泊头市2022年第八批次1号地</w:t>
      </w:r>
    </w:p>
    <w:p>
      <w:pPr>
        <w:pStyle w:val="6"/>
        <w:topLinePunct/>
        <w:spacing w:line="1000" w:lineRule="exact"/>
        <w:ind w:firstLine="0" w:firstLineChars="0"/>
        <w:rPr>
          <w:rFonts w:hint="eastAsia" w:ascii="宋体" w:hAnsi="宋体" w:eastAsia="宋体" w:cs="宋体"/>
          <w:b/>
          <w:bCs/>
          <w:color w:val="auto"/>
          <w:spacing w:val="20"/>
          <w:sz w:val="56"/>
          <w:szCs w:val="56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pacing w:val="20"/>
          <w:sz w:val="72"/>
          <w:szCs w:val="72"/>
          <w:lang w:eastAsia="zh-CN"/>
        </w:rPr>
        <w:t>土壤污染状况调查</w:t>
      </w:r>
      <w:r>
        <w:rPr>
          <w:rFonts w:hint="eastAsia" w:ascii="宋体" w:hAnsi="宋体" w:cs="宋体"/>
          <w:b/>
          <w:bCs/>
          <w:color w:val="auto"/>
          <w:spacing w:val="20"/>
          <w:sz w:val="72"/>
          <w:szCs w:val="72"/>
          <w:lang w:eastAsia="zh-CN"/>
        </w:rPr>
        <w:t>报告</w:t>
      </w:r>
    </w:p>
    <w:p>
      <w:pPr>
        <w:tabs>
          <w:tab w:val="left" w:pos="3456"/>
        </w:tabs>
        <w:spacing w:before="240" w:beforeLines="100" w:line="240" w:lineRule="auto"/>
        <w:ind w:firstLine="0" w:firstLineChars="0"/>
        <w:jc w:val="center"/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</w:rPr>
        <w:t>（</w:t>
      </w:r>
      <w:r>
        <w:rPr>
          <w:rFonts w:hint="eastAsia" w:eastAsia="宋体" w:cs="Times New Roman"/>
          <w:b/>
          <w:bCs/>
          <w:color w:val="auto"/>
          <w:sz w:val="36"/>
          <w:szCs w:val="36"/>
          <w:lang w:eastAsia="zh-CN"/>
        </w:rPr>
        <w:t>公示本</w:t>
      </w:r>
      <w:r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</w:rPr>
        <w:t>）</w:t>
      </w:r>
      <w:bookmarkStart w:id="23" w:name="_GoBack"/>
      <w:bookmarkEnd w:id="23"/>
    </w:p>
    <w:p>
      <w:pPr>
        <w:pStyle w:val="6"/>
        <w:topLinePunct/>
        <w:spacing w:line="360" w:lineRule="auto"/>
        <w:ind w:firstLine="0" w:firstLineChars="0"/>
        <w:rPr>
          <w:rFonts w:hint="eastAsia" w:ascii="Times New Roman" w:hAnsi="Times New Roman" w:eastAsia="宋体" w:cs="Times New Roman"/>
          <w:b/>
          <w:spacing w:val="20"/>
          <w:sz w:val="72"/>
          <w:szCs w:val="72"/>
          <w:lang w:eastAsia="zh-CN"/>
        </w:rPr>
      </w:pPr>
    </w:p>
    <w:p>
      <w:pPr>
        <w:ind w:firstLine="480"/>
        <w:rPr>
          <w:rFonts w:cs="Times New Roman"/>
          <w:color w:val="0070C0"/>
        </w:rPr>
      </w:pPr>
    </w:p>
    <w:p>
      <w:pPr>
        <w:ind w:firstLine="480"/>
        <w:rPr>
          <w:rFonts w:cs="Times New Roman"/>
          <w:color w:val="0070C0"/>
        </w:rPr>
      </w:pPr>
    </w:p>
    <w:p>
      <w:pPr>
        <w:ind w:firstLine="480"/>
        <w:rPr>
          <w:rFonts w:cs="Times New Roman"/>
          <w:color w:val="0070C0"/>
        </w:rPr>
      </w:pPr>
    </w:p>
    <w:p>
      <w:pPr>
        <w:ind w:firstLine="480"/>
        <w:rPr>
          <w:rFonts w:cs="Times New Roman"/>
          <w:color w:val="0070C0"/>
        </w:rPr>
      </w:pPr>
    </w:p>
    <w:p>
      <w:pPr>
        <w:ind w:firstLine="480"/>
        <w:rPr>
          <w:rFonts w:cs="Times New Roman"/>
          <w:color w:val="0070C0"/>
        </w:rPr>
      </w:pPr>
    </w:p>
    <w:p>
      <w:pPr>
        <w:ind w:firstLine="480"/>
        <w:rPr>
          <w:rFonts w:cs="Times New Roman"/>
          <w:color w:val="0070C0"/>
        </w:rPr>
      </w:pPr>
    </w:p>
    <w:p>
      <w:pPr>
        <w:ind w:firstLine="480"/>
        <w:rPr>
          <w:rFonts w:cs="Times New Roman"/>
          <w:color w:val="0070C0"/>
        </w:rPr>
      </w:pPr>
    </w:p>
    <w:p>
      <w:pPr>
        <w:pStyle w:val="9"/>
        <w:widowControl w:val="0"/>
        <w:topLinePunct/>
        <w:snapToGrid w:val="0"/>
        <w:spacing w:before="0" w:beforeAutospacing="0" w:after="0" w:afterAutospacing="0" w:line="360" w:lineRule="auto"/>
        <w:ind w:firstLine="964" w:firstLineChars="300"/>
        <w:rPr>
          <w:rFonts w:hint="eastAsia" w:ascii="Times New Roman" w:hAnsi="Times New Roman" w:eastAsia="宋体" w:cs="Times New Roman"/>
          <w:b/>
          <w:kern w:val="2"/>
          <w:sz w:val="32"/>
          <w:szCs w:val="32"/>
          <w:lang w:eastAsia="zh-CN"/>
        </w:rPr>
      </w:pPr>
      <w:r>
        <w:rPr>
          <w:rFonts w:ascii="Times New Roman" w:hAnsi="Times New Roman" w:cs="Times New Roman"/>
          <w:b/>
          <w:kern w:val="2"/>
          <w:sz w:val="32"/>
          <w:szCs w:val="32"/>
        </w:rPr>
        <w:t>委托单位：</w:t>
      </w:r>
      <w:r>
        <w:rPr>
          <w:rFonts w:hint="eastAsia" w:ascii="Times New Roman" w:hAnsi="Times New Roman" w:cs="Times New Roman"/>
          <w:b/>
          <w:kern w:val="2"/>
          <w:sz w:val="32"/>
          <w:szCs w:val="32"/>
          <w:lang w:eastAsia="zh-CN"/>
        </w:rPr>
        <w:t>泊头市自然资源和规划局</w:t>
      </w:r>
    </w:p>
    <w:p>
      <w:pPr>
        <w:pStyle w:val="9"/>
        <w:widowControl w:val="0"/>
        <w:topLinePunct/>
        <w:snapToGrid w:val="0"/>
        <w:spacing w:before="0" w:beforeAutospacing="0" w:after="0" w:afterAutospacing="0" w:line="360" w:lineRule="auto"/>
        <w:ind w:firstLine="964" w:firstLineChars="300"/>
        <w:rPr>
          <w:rFonts w:hint="eastAsia" w:ascii="Times New Roman" w:hAnsi="Times New Roman" w:eastAsia="宋体" w:cs="Times New Roman"/>
          <w:b/>
          <w:kern w:val="2"/>
          <w:sz w:val="32"/>
          <w:szCs w:val="32"/>
          <w:lang w:eastAsia="zh-CN"/>
        </w:rPr>
      </w:pPr>
      <w:r>
        <w:rPr>
          <w:rFonts w:ascii="Times New Roman" w:hAnsi="Times New Roman" w:cs="Times New Roman"/>
          <w:b/>
          <w:kern w:val="2"/>
          <w:sz w:val="32"/>
          <w:szCs w:val="32"/>
        </w:rPr>
        <w:t>编制单位：</w:t>
      </w:r>
      <w:r>
        <w:rPr>
          <w:rFonts w:hint="eastAsia" w:ascii="Times New Roman" w:hAnsi="Times New Roman" w:cs="Times New Roman"/>
          <w:b/>
          <w:kern w:val="2"/>
          <w:sz w:val="32"/>
          <w:szCs w:val="32"/>
          <w:lang w:eastAsia="zh-CN"/>
        </w:rPr>
        <w:t>河北靓源环保工程有限公司</w:t>
      </w:r>
    </w:p>
    <w:p>
      <w:pPr>
        <w:pStyle w:val="9"/>
        <w:widowControl w:val="0"/>
        <w:topLinePunct/>
        <w:snapToGrid w:val="0"/>
        <w:spacing w:before="0" w:beforeAutospacing="0" w:after="0" w:afterAutospacing="0" w:line="360" w:lineRule="auto"/>
        <w:ind w:firstLine="964" w:firstLineChars="300"/>
        <w:rPr>
          <w:rFonts w:ascii="Times New Roman" w:hAnsi="Times New Roman" w:cs="Times New Roman"/>
          <w:b/>
          <w:kern w:val="2"/>
          <w:sz w:val="32"/>
          <w:szCs w:val="32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797" w:bottom="1440" w:left="1797" w:header="851" w:footer="992" w:gutter="0"/>
          <w:pgNumType w:start="1"/>
          <w:cols w:space="720" w:num="1"/>
          <w:docGrid w:linePitch="312" w:charSpace="0"/>
        </w:sectPr>
      </w:pPr>
      <w:r>
        <w:rPr>
          <w:rFonts w:ascii="Times New Roman" w:hAnsi="Times New Roman" w:cs="Times New Roman"/>
          <w:b/>
          <w:kern w:val="2"/>
          <w:sz w:val="32"/>
          <w:szCs w:val="32"/>
        </w:rPr>
        <w:t xml:space="preserve">编制日期：二 〇 二 </w:t>
      </w:r>
      <w:r>
        <w:rPr>
          <w:rFonts w:hint="eastAsia" w:ascii="Times New Roman" w:hAnsi="Times New Roman" w:cs="Times New Roman"/>
          <w:b/>
          <w:kern w:val="2"/>
          <w:sz w:val="32"/>
          <w:szCs w:val="32"/>
          <w:lang w:eastAsia="zh-CN"/>
        </w:rPr>
        <w:t>二</w:t>
      </w:r>
      <w:r>
        <w:rPr>
          <w:rFonts w:ascii="Times New Roman" w:hAnsi="Times New Roman" w:cs="Times New Roman"/>
          <w:b/>
          <w:kern w:val="2"/>
          <w:sz w:val="32"/>
          <w:szCs w:val="32"/>
        </w:rPr>
        <w:t xml:space="preserve"> 年 </w:t>
      </w:r>
      <w:r>
        <w:rPr>
          <w:rFonts w:hint="eastAsia" w:ascii="Times New Roman" w:hAnsi="Times New Roman" w:cs="Times New Roman"/>
          <w:b/>
          <w:kern w:val="2"/>
          <w:sz w:val="32"/>
          <w:szCs w:val="32"/>
          <w:lang w:eastAsia="zh-CN"/>
        </w:rPr>
        <w:t>九</w:t>
      </w:r>
      <w:r>
        <w:rPr>
          <w:rFonts w:ascii="Times New Roman" w:hAnsi="Times New Roman" w:cs="Times New Roman"/>
          <w:b/>
          <w:kern w:val="2"/>
          <w:sz w:val="32"/>
          <w:szCs w:val="32"/>
        </w:rPr>
        <w:t xml:space="preserve"> 月</w:t>
      </w:r>
    </w:p>
    <w:p>
      <w:pPr>
        <w:pStyle w:val="5"/>
        <w:rPr>
          <w:rFonts w:hint="default" w:ascii="Times New Roman" w:hAnsi="Times New Roman" w:cs="Times New Roman"/>
          <w:highlight w:val="none"/>
        </w:rPr>
      </w:pPr>
      <w:r>
        <w:rPr>
          <w:rFonts w:hint="default" w:ascii="Times New Roman" w:hAnsi="Times New Roman" w:cs="Times New Roman"/>
          <w:highlight w:val="none"/>
        </w:rPr>
        <w:t>1 地块概况</w:t>
      </w:r>
    </w:p>
    <w:p>
      <w:pPr>
        <w:spacing w:line="500" w:lineRule="exact"/>
        <w:ind w:firstLine="480"/>
        <w:rPr>
          <w:rFonts w:hint="eastAsia" w:cs="Times New Roman"/>
          <w:highlight w:val="none"/>
          <w:lang w:val="en-US" w:eastAsia="zh-CN"/>
        </w:rPr>
      </w:pPr>
      <w:bookmarkStart w:id="0" w:name="_Toc22904"/>
      <w:bookmarkStart w:id="1" w:name="_Toc18637"/>
      <w:bookmarkStart w:id="2" w:name="_Toc18217"/>
      <w:bookmarkStart w:id="3" w:name="_Toc31687"/>
      <w:bookmarkStart w:id="4" w:name="_Toc27213"/>
      <w:bookmarkStart w:id="5" w:name="_Toc22861"/>
      <w:bookmarkStart w:id="6" w:name="_Toc31532"/>
      <w:bookmarkStart w:id="7" w:name="_Toc23724"/>
      <w:r>
        <w:rPr>
          <w:rFonts w:hint="eastAsia" w:cs="Times New Roman"/>
          <w:color w:val="auto"/>
          <w:lang w:eastAsia="zh-CN"/>
        </w:rPr>
        <w:t>泊头市2022年第八批次1号地</w:t>
      </w:r>
      <w:r>
        <w:rPr>
          <w:rFonts w:cs="Times New Roman"/>
          <w:color w:val="auto"/>
        </w:rPr>
        <w:t>位于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沧州泊头市泊镇姚家庵村、姚辛村</w:t>
      </w:r>
      <w:r>
        <w:rPr>
          <w:rFonts w:cs="Times New Roman"/>
          <w:color w:val="auto"/>
        </w:rPr>
        <w:t>。地块总占地面积</w:t>
      </w:r>
      <w:r>
        <w:rPr>
          <w:rFonts w:hint="eastAsia" w:cs="Times New Roman"/>
          <w:color w:val="auto"/>
          <w:lang w:eastAsia="zh-CN"/>
        </w:rPr>
        <w:t>147707</w:t>
      </w:r>
      <w:r>
        <w:rPr>
          <w:rFonts w:cs="Times New Roman"/>
          <w:color w:val="auto"/>
        </w:rPr>
        <w:t>m²（约合</w:t>
      </w:r>
      <w:r>
        <w:rPr>
          <w:rFonts w:hint="eastAsia" w:cs="Times New Roman"/>
          <w:color w:val="auto"/>
          <w:lang w:val="en-US" w:eastAsia="zh-CN"/>
        </w:rPr>
        <w:t>221.56亩</w:t>
      </w:r>
      <w:r>
        <w:rPr>
          <w:rFonts w:cs="Times New Roman"/>
          <w:color w:val="auto"/>
        </w:rPr>
        <w:t>）。</w:t>
      </w:r>
      <w:r>
        <w:rPr>
          <w:rFonts w:hint="eastAsia" w:cs="Times New Roman"/>
          <w:color w:val="auto"/>
          <w:highlight w:val="none"/>
          <w:lang w:eastAsia="zh-CN"/>
        </w:rPr>
        <w:t>地块东至农用地，南至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姚辛村</w:t>
      </w:r>
      <w:r>
        <w:rPr>
          <w:rFonts w:hint="eastAsia" w:cs="Times New Roman"/>
          <w:color w:val="auto"/>
          <w:highlight w:val="none"/>
          <w:lang w:eastAsia="zh-CN"/>
        </w:rPr>
        <w:t>，西至乡间小路及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姚家庵村</w:t>
      </w:r>
      <w:r>
        <w:rPr>
          <w:rFonts w:hint="eastAsia" w:cs="Times New Roman"/>
          <w:color w:val="auto"/>
          <w:highlight w:val="none"/>
          <w:lang w:eastAsia="zh-CN"/>
        </w:rPr>
        <w:t>，北至农用地。</w:t>
      </w:r>
      <w:r>
        <w:rPr>
          <w:rFonts w:cs="Times New Roman"/>
          <w:color w:val="auto"/>
          <w:highlight w:val="none"/>
        </w:rPr>
        <w:t>该地块目前用地性质均为</w:t>
      </w:r>
      <w:r>
        <w:rPr>
          <w:rFonts w:hint="eastAsia" w:cs="Times New Roman"/>
          <w:color w:val="auto"/>
          <w:highlight w:val="none"/>
          <w:lang w:eastAsia="zh-CN"/>
        </w:rPr>
        <w:t>农用地，地块</w:t>
      </w:r>
      <w:r>
        <w:rPr>
          <w:rFonts w:cs="Times New Roman"/>
          <w:color w:val="auto"/>
          <w:highlight w:val="none"/>
        </w:rPr>
        <w:t>历史上未进行过任何工业生产活动</w:t>
      </w:r>
      <w:r>
        <w:rPr>
          <w:rFonts w:hint="eastAsia" w:cs="Times New Roman"/>
          <w:color w:val="auto"/>
          <w:highlight w:val="none"/>
          <w:lang w:eastAsia="zh-CN"/>
        </w:rPr>
        <w:t>，</w:t>
      </w:r>
      <w:r>
        <w:rPr>
          <w:rFonts w:hint="eastAsia" w:ascii="Times New Roman" w:hAnsi="Times New Roman" w:cs="Times New Roman"/>
          <w:color w:val="auto"/>
          <w:highlight w:val="none"/>
          <w:lang w:eastAsia="zh-CN"/>
        </w:rPr>
        <w:t>地块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内历史上存在过仓库、养殖户，目前已全部拆除，现状为平地；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除上述区域外，其他区域历史上一直为农田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。地块</w:t>
      </w:r>
      <w:r>
        <w:rPr>
          <w:rFonts w:cs="Times New Roman"/>
          <w:color w:val="auto"/>
          <w:highlight w:val="none"/>
        </w:rPr>
        <w:t>规划</w:t>
      </w:r>
      <w:r>
        <w:rPr>
          <w:rFonts w:hint="eastAsia" w:cs="Times New Roman"/>
          <w:color w:val="auto"/>
          <w:highlight w:val="none"/>
          <w:lang w:val="en-US" w:eastAsia="zh-CN"/>
        </w:rPr>
        <w:t>用途</w:t>
      </w:r>
      <w:r>
        <w:rPr>
          <w:rFonts w:cs="Times New Roman"/>
          <w:color w:val="auto"/>
          <w:highlight w:val="none"/>
        </w:rPr>
        <w:t>为居住用地</w:t>
      </w:r>
      <w:r>
        <w:rPr>
          <w:rFonts w:hint="eastAsia" w:cs="Times New Roman" w:eastAsiaTheme="minorEastAsia"/>
          <w:b w:val="0"/>
          <w:bCs w:val="0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cs="Times New Roman"/>
          <w:color w:val="auto"/>
          <w:lang w:eastAsia="zh-CN"/>
        </w:rPr>
        <w:t>泊头市2022年第八批次1号地</w:t>
      </w:r>
      <w:r>
        <w:rPr>
          <w:rFonts w:hint="default" w:ascii="Times New Roman" w:hAnsi="Times New Roman" w:cs="Times New Roman"/>
          <w:spacing w:val="-9"/>
          <w:sz w:val="24"/>
          <w:szCs w:val="24"/>
          <w:lang w:eastAsia="zh-CN"/>
        </w:rPr>
        <w:t>用地性质拟由</w:t>
      </w:r>
      <w:r>
        <w:rPr>
          <w:rFonts w:cs="Times New Roman"/>
          <w:color w:val="auto"/>
        </w:rPr>
        <w:t>农用地</w:t>
      </w:r>
      <w:r>
        <w:rPr>
          <w:rFonts w:hint="default" w:ascii="Times New Roman" w:hAnsi="Times New Roman" w:cs="Times New Roman"/>
          <w:spacing w:val="-9"/>
          <w:sz w:val="24"/>
          <w:szCs w:val="24"/>
          <w:lang w:eastAsia="zh-CN"/>
        </w:rPr>
        <w:t>变更为</w:t>
      </w:r>
      <w:r>
        <w:rPr>
          <w:rFonts w:cs="Times New Roman"/>
          <w:color w:val="auto"/>
        </w:rPr>
        <w:t>居住用地</w:t>
      </w:r>
      <w:r>
        <w:rPr>
          <w:rFonts w:hint="default" w:ascii="Times New Roman" w:hAnsi="Times New Roman" w:cs="Times New Roman"/>
          <w:spacing w:val="-9"/>
          <w:sz w:val="24"/>
          <w:szCs w:val="24"/>
          <w:lang w:eastAsia="zh-CN"/>
        </w:rPr>
        <w:t>。</w:t>
      </w:r>
      <w:r>
        <w:rPr>
          <w:rFonts w:hint="default" w:ascii="Times New Roman" w:hAnsi="Times New Roman" w:eastAsia="宋体" w:cs="Times New Roman"/>
          <w:color w:val="auto"/>
          <w:highlight w:val="none"/>
        </w:rPr>
        <w:t>根据《中华人民共和国土壤污染防治法》第五十九条：用途变更为住宅、公共管理与公共服务用地的，变更前应当按照规定进行土壤污染状况调查</w:t>
      </w:r>
      <w:r>
        <w:rPr>
          <w:snapToGrid w:val="0"/>
          <w:szCs w:val="22"/>
          <w:highlight w:val="none"/>
        </w:rPr>
        <w:t>。</w:t>
      </w:r>
    </w:p>
    <w:p>
      <w:pPr>
        <w:pStyle w:val="5"/>
        <w:rPr>
          <w:rFonts w:hint="default" w:ascii="Times New Roman" w:hAnsi="Times New Roman" w:cs="Times New Roman"/>
          <w:highlight w:val="none"/>
        </w:rPr>
      </w:pPr>
      <w:r>
        <w:rPr>
          <w:rFonts w:hint="default" w:ascii="Times New Roman" w:hAnsi="Times New Roman" w:cs="Times New Roman"/>
          <w:highlight w:val="none"/>
        </w:rPr>
        <w:t>2 现场采样和检测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>
      <w:pPr>
        <w:ind w:firstLine="480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本项目土壤质量状况调查阶段土壤的采样工作于</w:t>
      </w:r>
      <w:r>
        <w:rPr>
          <w:rFonts w:hint="eastAsia" w:ascii="Times New Roman" w:hAnsi="Times New Roman" w:cs="Times New Roman"/>
          <w:color w:val="auto"/>
          <w:lang w:eastAsia="zh-CN"/>
        </w:rPr>
        <w:t>2022年7月16日至7月21日</w:t>
      </w:r>
      <w:r>
        <w:rPr>
          <w:rFonts w:hint="default" w:ascii="Times New Roman" w:hAnsi="Times New Roman" w:cs="Times New Roman"/>
          <w:color w:val="auto"/>
        </w:rPr>
        <w:t>进行。现场共布设</w:t>
      </w:r>
      <w:r>
        <w:rPr>
          <w:rFonts w:hint="eastAsia" w:ascii="Times New Roman" w:hAnsi="Times New Roman" w:cs="Times New Roman"/>
          <w:color w:val="auto"/>
          <w:lang w:val="en-US" w:eastAsia="zh-CN"/>
        </w:rPr>
        <w:t>28</w:t>
      </w:r>
      <w:r>
        <w:rPr>
          <w:rFonts w:hint="default" w:ascii="Times New Roman" w:hAnsi="Times New Roman" w:cs="Times New Roman"/>
          <w:color w:val="auto"/>
        </w:rPr>
        <w:t>个土壤监测点位，现场采集</w:t>
      </w:r>
      <w:r>
        <w:rPr>
          <w:rFonts w:hint="eastAsia" w:ascii="Times New Roman" w:hAnsi="Times New Roman" w:cs="Times New Roman"/>
          <w:color w:val="auto"/>
          <w:lang w:val="en-US" w:eastAsia="zh-CN"/>
        </w:rPr>
        <w:t>56</w:t>
      </w:r>
      <w:r>
        <w:rPr>
          <w:rFonts w:hint="default" w:ascii="Times New Roman" w:hAnsi="Times New Roman" w:cs="Times New Roman"/>
          <w:color w:val="auto"/>
        </w:rPr>
        <w:t>组土壤样品，另采集</w:t>
      </w:r>
      <w:r>
        <w:rPr>
          <w:rFonts w:hint="eastAsia" w:ascii="Times New Roman" w:hAnsi="Times New Roman" w:cs="Times New Roman"/>
          <w:color w:val="auto"/>
          <w:lang w:val="en-US" w:eastAsia="zh-CN"/>
        </w:rPr>
        <w:t>6</w:t>
      </w:r>
      <w:r>
        <w:rPr>
          <w:rFonts w:hint="default" w:ascii="Times New Roman" w:hAnsi="Times New Roman" w:cs="Times New Roman"/>
          <w:color w:val="auto"/>
        </w:rPr>
        <w:t>组土壤平行样品</w:t>
      </w:r>
      <w:r>
        <w:rPr>
          <w:rFonts w:cs="Times New Roman"/>
          <w:color w:val="000000"/>
        </w:rPr>
        <w:t>；采集</w:t>
      </w:r>
      <w:r>
        <w:rPr>
          <w:rFonts w:hint="eastAsia" w:cs="Times New Roman"/>
          <w:color w:val="000000"/>
          <w:lang w:val="en-US" w:eastAsia="zh-CN"/>
        </w:rPr>
        <w:t>5</w:t>
      </w:r>
      <w:r>
        <w:rPr>
          <w:rFonts w:cs="Times New Roman"/>
          <w:color w:val="000000"/>
        </w:rPr>
        <w:t>组地下水样品，另有1组现场平行样</w:t>
      </w:r>
      <w:r>
        <w:rPr>
          <w:rFonts w:hint="default" w:ascii="Times New Roman" w:hAnsi="Times New Roman" w:cs="Times New Roman"/>
          <w:color w:val="auto"/>
        </w:rPr>
        <w:t>。</w:t>
      </w:r>
      <w:r>
        <w:rPr>
          <w:rFonts w:hint="default" w:ascii="Times New Roman" w:hAnsi="Times New Roman" w:cs="Times New Roman"/>
          <w:color w:val="auto"/>
          <w:highlight w:val="none"/>
        </w:rPr>
        <w:t>全部</w:t>
      </w:r>
      <w:r>
        <w:rPr>
          <w:rFonts w:hint="eastAsia" w:ascii="Times New Roman" w:hAnsi="Times New Roman" w:cs="Times New Roman"/>
          <w:color w:val="auto"/>
          <w:highlight w:val="none"/>
          <w:lang w:eastAsia="zh-CN"/>
        </w:rPr>
        <w:t>交</w:t>
      </w:r>
      <w:r>
        <w:rPr>
          <w:rFonts w:hint="default" w:ascii="Times New Roman" w:hAnsi="Times New Roman" w:cs="Times New Roman"/>
          <w:color w:val="auto"/>
          <w:highlight w:val="none"/>
        </w:rPr>
        <w:t>由河北百</w:t>
      </w:r>
      <w:r>
        <w:rPr>
          <w:rFonts w:hint="default" w:ascii="Times New Roman" w:hAnsi="Times New Roman" w:cs="Times New Roman"/>
          <w:color w:val="auto"/>
        </w:rPr>
        <w:t>润环境检测技术有限公司实验室进行化验分析。</w:t>
      </w:r>
    </w:p>
    <w:p>
      <w:pPr>
        <w:ind w:firstLine="480"/>
        <w:jc w:val="both"/>
        <w:rPr>
          <w:rFonts w:hint="eastAsia" w:cs="Times New Roman"/>
          <w:color w:val="auto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</w:rPr>
        <w:t>本项目调查采集的所有土壤样品</w:t>
      </w:r>
      <w:r>
        <w:rPr>
          <w:rFonts w:hint="default" w:ascii="Times New Roman" w:hAnsi="Times New Roman" w:cs="Times New Roman"/>
          <w:color w:val="auto"/>
          <w:kern w:val="2"/>
        </w:rPr>
        <w:t>全部委托经</w:t>
      </w:r>
      <w:r>
        <w:rPr>
          <w:rFonts w:hint="default" w:ascii="Times New Roman" w:hAnsi="Times New Roman" w:cs="Times New Roman"/>
          <w:color w:val="auto"/>
        </w:rPr>
        <w:t>计量认证合格的河北百润环境检测技术有限公司进行检测分析，目前已提供了全部检测样品的检测报告及质控报告</w:t>
      </w:r>
      <w:r>
        <w:rPr>
          <w:rFonts w:hint="eastAsia" w:cs="Times New Roman"/>
          <w:color w:val="auto"/>
          <w:highlight w:val="none"/>
          <w:lang w:eastAsia="zh-CN"/>
        </w:rPr>
        <w:t>。</w:t>
      </w:r>
    </w:p>
    <w:p>
      <w:pPr>
        <w:pStyle w:val="5"/>
        <w:rPr>
          <w:rFonts w:hint="default" w:ascii="Times New Roman" w:hAnsi="Times New Roman" w:cs="Times New Roman"/>
          <w:highlight w:val="none"/>
        </w:rPr>
      </w:pPr>
      <w:bookmarkStart w:id="8" w:name="_Toc24420"/>
      <w:bookmarkStart w:id="9" w:name="_Toc21994"/>
      <w:bookmarkStart w:id="10" w:name="_Toc16732"/>
      <w:bookmarkStart w:id="11" w:name="_Toc24959"/>
      <w:bookmarkStart w:id="12" w:name="_Toc1129"/>
      <w:bookmarkStart w:id="13" w:name="_Toc10607"/>
      <w:bookmarkStart w:id="14" w:name="_Toc18873"/>
      <w:r>
        <w:rPr>
          <w:rFonts w:hint="default" w:ascii="Times New Roman" w:hAnsi="Times New Roman" w:cs="Times New Roman"/>
          <w:highlight w:val="none"/>
        </w:rPr>
        <w:t>3 检测结果分析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pStyle w:val="2"/>
        <w:spacing w:line="480" w:lineRule="exact"/>
        <w:ind w:firstLine="480"/>
      </w:pPr>
      <w:bookmarkStart w:id="15" w:name="_Toc15050"/>
      <w:bookmarkStart w:id="16" w:name="_Toc21868"/>
      <w:bookmarkStart w:id="17" w:name="_Toc26351"/>
      <w:bookmarkStart w:id="18" w:name="_Toc6316"/>
      <w:bookmarkStart w:id="19" w:name="_Toc10124"/>
      <w:bookmarkStart w:id="20" w:name="_Toc16526"/>
      <w:bookmarkStart w:id="21" w:name="_Toc1746"/>
      <w:bookmarkStart w:id="22" w:name="_Toc27064"/>
      <w:r>
        <w:rPr>
          <w:rFonts w:cs="Times New Roman"/>
          <w:color w:val="000000"/>
        </w:rPr>
        <w:t>根据地块土壤样品检测结果，地块内</w:t>
      </w:r>
      <w:r>
        <w:rPr>
          <w:rFonts w:hint="eastAsia"/>
        </w:rPr>
        <w:t>所有检测的土壤样品中六价铬、</w:t>
      </w:r>
      <w:r>
        <w:rPr>
          <w:rFonts w:hint="default" w:ascii="Times New Roman" w:hAnsi="Times New Roman" w:cs="Times New Roman"/>
          <w:color w:val="auto"/>
          <w:highlight w:val="none"/>
        </w:rPr>
        <w:t>VOCs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highlight w:val="none"/>
        </w:rPr>
        <w:t>SVOCs</w:t>
      </w:r>
      <w:r>
        <w:rPr>
          <w:rFonts w:hint="eastAsia" w:ascii="Times New Roman" w:hAnsi="Times New Roman" w:cs="Times New Roman"/>
          <w:color w:val="auto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color w:val="auto"/>
          <w:highlight w:val="none"/>
          <w:lang w:val="en-US" w:eastAsia="zh-CN"/>
        </w:rPr>
        <w:t>六六六、滴滴涕</w:t>
      </w:r>
      <w:r>
        <w:t>均</w:t>
      </w:r>
      <w:r>
        <w:rPr>
          <w:rFonts w:hint="eastAsia"/>
        </w:rPr>
        <w:t>未检出</w:t>
      </w:r>
      <w:r>
        <w:t>；</w:t>
      </w:r>
      <w:r>
        <w:rPr>
          <w:rFonts w:cs="Times New Roman"/>
          <w:color w:val="000000"/>
        </w:rPr>
        <w:t>所有土壤样品重金属</w:t>
      </w:r>
      <w:r>
        <w:rPr>
          <w:rFonts w:hint="eastAsia" w:cs="Times New Roman"/>
          <w:color w:val="000000"/>
        </w:rPr>
        <w:t>（除</w:t>
      </w:r>
      <w:r>
        <w:rPr>
          <w:rFonts w:cs="Times New Roman"/>
          <w:color w:val="000000"/>
        </w:rPr>
        <w:t>六价铬外</w:t>
      </w:r>
      <w:r>
        <w:rPr>
          <w:rFonts w:hint="eastAsia" w:cs="Times New Roman"/>
          <w:color w:val="000000"/>
        </w:rPr>
        <w:t>）</w:t>
      </w:r>
      <w:r>
        <w:rPr>
          <w:rFonts w:cs="Times New Roman"/>
          <w:color w:val="000000"/>
        </w:rPr>
        <w:t>因子均有检出，但各检出因子的最大浓度均未超过本地块土壤调查所选用的筛选值</w:t>
      </w:r>
      <w:r>
        <w:rPr>
          <w:rFonts w:hint="eastAsia" w:cs="Times New Roman"/>
          <w:color w:val="000000"/>
        </w:rPr>
        <w:t>；氨氮有检出，但检出浓度远低于本次</w:t>
      </w:r>
      <w:r>
        <w:rPr>
          <w:rFonts w:cs="Times New Roman"/>
          <w:color w:val="000000"/>
        </w:rPr>
        <w:t>土壤所用的筛选值</w:t>
      </w:r>
      <w:r>
        <w:rPr>
          <w:rFonts w:hint="eastAsia" w:cs="Times New Roman"/>
          <w:color w:val="000000"/>
        </w:rPr>
        <w:t>。</w:t>
      </w:r>
    </w:p>
    <w:p>
      <w:pPr>
        <w:spacing w:line="500" w:lineRule="exact"/>
        <w:ind w:firstLine="480"/>
        <w:rPr>
          <w:rFonts w:cs="Times New Roman"/>
          <w:color w:val="000000"/>
        </w:rPr>
      </w:pPr>
      <w:r>
        <w:rPr>
          <w:rFonts w:cs="Times New Roman"/>
          <w:color w:val="000000"/>
        </w:rPr>
        <w:t>根据地下水样品检测结果，</w:t>
      </w:r>
      <w:r>
        <w:rPr>
          <w:rFonts w:hint="eastAsia" w:cs="Times New Roman"/>
          <w:color w:val="000000"/>
        </w:rPr>
        <w:t>地下水中仅</w:t>
      </w:r>
      <w:r>
        <w:rPr>
          <w:rFonts w:hint="eastAsia" w:cs="Times New Roman"/>
          <w:highlight w:val="none"/>
        </w:rPr>
        <w:t>溶解性总固体</w:t>
      </w:r>
      <w:r>
        <w:rPr>
          <w:rFonts w:hint="eastAsia" w:cs="Times New Roman"/>
          <w:highlight w:val="none"/>
          <w:lang w:eastAsia="zh-CN"/>
        </w:rPr>
        <w:t>、</w:t>
      </w:r>
      <w:r>
        <w:rPr>
          <w:rFonts w:hint="eastAsia" w:cs="Times New Roman"/>
          <w:highlight w:val="none"/>
        </w:rPr>
        <w:t>总硬度</w:t>
      </w:r>
      <w:r>
        <w:rPr>
          <w:rFonts w:hint="eastAsia" w:cs="Times New Roman"/>
          <w:highlight w:val="none"/>
          <w:lang w:eastAsia="zh-CN"/>
        </w:rPr>
        <w:t>、</w:t>
      </w:r>
      <w:r>
        <w:rPr>
          <w:rFonts w:hint="eastAsia" w:cs="Times New Roman"/>
          <w:highlight w:val="none"/>
        </w:rPr>
        <w:t>硫酸盐</w:t>
      </w:r>
      <w:r>
        <w:rPr>
          <w:rFonts w:hint="eastAsia" w:cs="Times New Roman"/>
          <w:highlight w:val="none"/>
          <w:lang w:eastAsia="zh-CN"/>
        </w:rPr>
        <w:t>、</w:t>
      </w:r>
      <w:r>
        <w:rPr>
          <w:rFonts w:hint="eastAsia" w:cs="Times New Roman"/>
          <w:highlight w:val="none"/>
        </w:rPr>
        <w:t>氯化物</w:t>
      </w:r>
      <w:r>
        <w:rPr>
          <w:rFonts w:hint="eastAsia" w:cs="Times New Roman"/>
          <w:highlight w:val="none"/>
          <w:lang w:eastAsia="zh-CN"/>
        </w:rPr>
        <w:t>、</w:t>
      </w:r>
      <w:r>
        <w:rPr>
          <w:rFonts w:hint="eastAsia" w:cs="Times New Roman"/>
          <w:highlight w:val="none"/>
        </w:rPr>
        <w:t>锰、钠</w:t>
      </w:r>
      <w:r>
        <w:rPr>
          <w:rFonts w:cs="Times New Roman"/>
          <w:color w:val="000000"/>
        </w:rPr>
        <w:t>超出《地下水质量标准》（GB/T14848-2017）Ⅲ类标准，</w:t>
      </w:r>
      <w:r>
        <w:rPr>
          <w:rFonts w:hint="eastAsia" w:cs="Times New Roman"/>
          <w:color w:val="000000"/>
        </w:rPr>
        <w:t>其余均未超标</w:t>
      </w:r>
      <w:r>
        <w:rPr>
          <w:rFonts w:hint="eastAsia" w:cs="Times New Roman"/>
          <w:color w:val="000000"/>
          <w:highlight w:val="none"/>
          <w:lang w:eastAsia="zh-CN"/>
        </w:rPr>
        <w:t>；其中超标因子中</w:t>
      </w:r>
      <w:r>
        <w:rPr>
          <w:rFonts w:hint="eastAsia" w:cs="Times New Roman"/>
          <w:highlight w:val="none"/>
        </w:rPr>
        <w:t>溶解性总固体</w:t>
      </w:r>
      <w:r>
        <w:rPr>
          <w:rFonts w:hint="eastAsia" w:cs="Times New Roman"/>
          <w:highlight w:val="none"/>
          <w:lang w:eastAsia="zh-CN"/>
        </w:rPr>
        <w:t>、</w:t>
      </w:r>
      <w:r>
        <w:rPr>
          <w:rFonts w:hint="eastAsia" w:cs="Times New Roman"/>
          <w:highlight w:val="none"/>
        </w:rPr>
        <w:t>总硬度</w:t>
      </w:r>
      <w:r>
        <w:rPr>
          <w:rFonts w:hint="eastAsia" w:cs="Times New Roman"/>
          <w:highlight w:val="none"/>
          <w:lang w:eastAsia="zh-CN"/>
        </w:rPr>
        <w:t>、</w:t>
      </w:r>
      <w:r>
        <w:rPr>
          <w:rFonts w:hint="eastAsia" w:cs="Times New Roman"/>
          <w:highlight w:val="none"/>
        </w:rPr>
        <w:t>硫酸盐</w:t>
      </w:r>
      <w:r>
        <w:rPr>
          <w:rFonts w:hint="eastAsia" w:cs="Times New Roman"/>
          <w:highlight w:val="none"/>
          <w:lang w:eastAsia="zh-CN"/>
        </w:rPr>
        <w:t>、</w:t>
      </w:r>
      <w:r>
        <w:rPr>
          <w:rFonts w:hint="eastAsia" w:cs="Times New Roman"/>
          <w:highlight w:val="none"/>
        </w:rPr>
        <w:t>氯化物</w:t>
      </w:r>
      <w:r>
        <w:rPr>
          <w:rFonts w:hint="eastAsia" w:cs="Times New Roman"/>
          <w:highlight w:val="none"/>
          <w:lang w:eastAsia="zh-CN"/>
        </w:rPr>
        <w:t>超出</w:t>
      </w:r>
      <w:r>
        <w:rPr>
          <w:rFonts w:hint="eastAsia" w:cs="Times New Roman"/>
          <w:color w:val="000000"/>
          <w:highlight w:val="none"/>
        </w:rPr>
        <w:t>Ⅳ</w:t>
      </w:r>
      <w:r>
        <w:rPr>
          <w:rFonts w:cs="Times New Roman"/>
          <w:color w:val="000000"/>
          <w:highlight w:val="none"/>
        </w:rPr>
        <w:t>类标准</w:t>
      </w:r>
      <w:r>
        <w:rPr>
          <w:rFonts w:hint="eastAsia" w:cs="Times New Roman"/>
          <w:color w:val="000000"/>
          <w:highlight w:val="none"/>
          <w:lang w:eastAsia="zh-CN"/>
        </w:rPr>
        <w:t>，</w:t>
      </w:r>
      <w:r>
        <w:rPr>
          <w:rFonts w:hint="eastAsia" w:cs="Times New Roman"/>
          <w:highlight w:val="none"/>
        </w:rPr>
        <w:t>锰、钠</w:t>
      </w:r>
      <w:r>
        <w:rPr>
          <w:rFonts w:hint="eastAsia" w:cs="Times New Roman"/>
          <w:highlight w:val="none"/>
          <w:lang w:eastAsia="zh-CN"/>
        </w:rPr>
        <w:t>超</w:t>
      </w:r>
      <w:r>
        <w:rPr>
          <w:rFonts w:cs="Times New Roman"/>
          <w:color w:val="000000"/>
          <w:highlight w:val="none"/>
        </w:rPr>
        <w:t>Ⅲ类</w:t>
      </w:r>
      <w:r>
        <w:rPr>
          <w:rFonts w:hint="eastAsia" w:cs="Times New Roman"/>
          <w:color w:val="000000"/>
          <w:highlight w:val="none"/>
          <w:lang w:eastAsia="zh-CN"/>
        </w:rPr>
        <w:t>未超</w:t>
      </w:r>
      <w:r>
        <w:rPr>
          <w:rFonts w:hint="eastAsia" w:cs="Times New Roman"/>
          <w:color w:val="000000"/>
          <w:highlight w:val="none"/>
        </w:rPr>
        <w:t>Ⅳ</w:t>
      </w:r>
      <w:r>
        <w:rPr>
          <w:rFonts w:cs="Times New Roman"/>
          <w:color w:val="000000"/>
          <w:highlight w:val="none"/>
        </w:rPr>
        <w:t>类标准</w:t>
      </w:r>
      <w:r>
        <w:rPr>
          <w:rFonts w:hint="eastAsia" w:cs="Times New Roman"/>
          <w:color w:val="000000"/>
        </w:rPr>
        <w:t>。</w:t>
      </w:r>
    </w:p>
    <w:p>
      <w:pPr>
        <w:pStyle w:val="2"/>
        <w:rPr>
          <w:rFonts w:hint="default"/>
          <w:highlight w:val="none"/>
          <w:lang w:eastAsia="zh-CN"/>
        </w:rPr>
      </w:pPr>
      <w:r>
        <w:rPr>
          <w:rFonts w:hint="eastAsia" w:cs="Times New Roman"/>
          <w:lang w:eastAsia="zh-CN"/>
        </w:rPr>
        <w:t>根</w:t>
      </w:r>
      <w:r>
        <w:rPr>
          <w:rFonts w:hint="eastAsia" w:cs="Times New Roman"/>
        </w:rPr>
        <w:t>据查阅的相关文献分析可知，沧州市浅层地下水溶解性总固体、总硬度、硫酸盐、氯化物</w:t>
      </w:r>
      <w:r>
        <w:rPr>
          <w:rFonts w:hint="eastAsia" w:cs="Times New Roman"/>
          <w:highlight w:val="none"/>
          <w:lang w:eastAsia="zh-CN"/>
        </w:rPr>
        <w:t>、</w:t>
      </w:r>
      <w:r>
        <w:rPr>
          <w:rFonts w:hint="eastAsia" w:cs="Times New Roman"/>
          <w:highlight w:val="none"/>
        </w:rPr>
        <w:t>锰、钠</w:t>
      </w:r>
      <w:r>
        <w:rPr>
          <w:rFonts w:hint="eastAsia" w:cs="Times New Roman"/>
        </w:rPr>
        <w:t>含量偏高与沧州市地质结构有关，沧州市地处冲洪积平原区，地势平缓，潜层地下水开采层为第一含水组，地下水埋深较浅，排泄方式以人工开采为主，其次是潜水蒸发，侧向径流微弱，土壤中矿物成分经过不断风化淋溶，会造成地下水化学成分逐渐增多。本项目地块处于沧州地区，因此分析认为地块内地下水中溶解性总固体、总硬度、硫酸盐、氯化物</w:t>
      </w:r>
      <w:r>
        <w:rPr>
          <w:rFonts w:hint="eastAsia" w:cs="Times New Roman"/>
          <w:highlight w:val="none"/>
          <w:lang w:eastAsia="zh-CN"/>
        </w:rPr>
        <w:t>、</w:t>
      </w:r>
      <w:r>
        <w:rPr>
          <w:rFonts w:hint="eastAsia" w:cs="Times New Roman"/>
          <w:highlight w:val="none"/>
        </w:rPr>
        <w:t>锰、钠</w:t>
      </w:r>
      <w:r>
        <w:rPr>
          <w:rFonts w:hint="eastAsia" w:cs="Times New Roman"/>
        </w:rPr>
        <w:t>超标属于区域地质原因。</w:t>
      </w:r>
      <w:r>
        <w:rPr>
          <w:rFonts w:hint="eastAsia"/>
        </w:rPr>
        <w:t>本项目地块区域内已实现集中供水，地下水不开采饮用，</w:t>
      </w:r>
      <w:r>
        <w:rPr>
          <w:rFonts w:cs="Times New Roman"/>
        </w:rPr>
        <w:t>浅层地下水暂无利用规划，不作为饮用水源</w:t>
      </w:r>
      <w:r>
        <w:rPr>
          <w:rFonts w:hint="eastAsia" w:cs="Times New Roman"/>
        </w:rPr>
        <w:t>。</w:t>
      </w:r>
      <w:r>
        <w:rPr>
          <w:rFonts w:cs="Times New Roman"/>
        </w:rPr>
        <w:t>超标因子</w:t>
      </w:r>
      <w:r>
        <w:rPr>
          <w:rFonts w:hint="eastAsia" w:cs="Times New Roman"/>
        </w:rPr>
        <w:t>均为</w:t>
      </w:r>
      <w:r>
        <w:rPr>
          <w:rFonts w:cs="Times New Roman"/>
        </w:rPr>
        <w:t>一般化学指标，</w:t>
      </w:r>
      <w:r>
        <w:rPr>
          <w:rFonts w:hint="eastAsia" w:cs="Times New Roman"/>
        </w:rPr>
        <w:t>对人体健康危害不大</w:t>
      </w:r>
      <w:r>
        <w:rPr>
          <w:rFonts w:cs="Times New Roman"/>
        </w:rPr>
        <w:t>，在不饮用的情况下对人体健康不存在暴露途径，因此对未来居民不存在健康风险</w:t>
      </w:r>
      <w:r>
        <w:rPr>
          <w:rFonts w:hint="eastAsia" w:ascii="Times New Roman" w:hAnsi="Times New Roman"/>
          <w:color w:val="auto"/>
          <w:highlight w:val="none"/>
          <w:lang w:val="en-US" w:eastAsia="zh-CN"/>
        </w:rPr>
        <w:t>。</w:t>
      </w:r>
    </w:p>
    <w:p>
      <w:pPr>
        <w:pStyle w:val="5"/>
        <w:rPr>
          <w:rFonts w:hint="default" w:ascii="Times New Roman" w:hAnsi="Times New Roman" w:cs="Times New Roman"/>
          <w:highlight w:val="none"/>
        </w:rPr>
      </w:pPr>
      <w:r>
        <w:rPr>
          <w:rFonts w:hint="eastAsia" w:cs="Times New Roman"/>
          <w:highlight w:val="none"/>
          <w:lang w:val="en-US" w:eastAsia="zh-CN"/>
        </w:rPr>
        <w:t>4</w:t>
      </w:r>
      <w:r>
        <w:rPr>
          <w:rFonts w:hint="default" w:ascii="Times New Roman" w:hAnsi="Times New Roman" w:cs="Times New Roman"/>
          <w:highlight w:val="none"/>
        </w:rPr>
        <w:t xml:space="preserve"> 调查结论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>
      <w:r>
        <w:rPr>
          <w:rFonts w:cs="Times New Roman"/>
        </w:rPr>
        <w:t>根据本项目地块土壤及地下水样品检测结果的统计分析，本项目土壤监测结果均未超出本次土壤污染状况调查所用的筛选值，地下水部分因子监测结果超出本次土壤污染状况调查所用的评价值，</w:t>
      </w:r>
      <w:r>
        <w:rPr>
          <w:rFonts w:hint="eastAsia" w:cs="Times New Roman"/>
        </w:rPr>
        <w:t>但</w:t>
      </w:r>
      <w:r>
        <w:rPr>
          <w:rFonts w:cs="Times New Roman"/>
        </w:rPr>
        <w:t>超标因子均为一般化学指标，对人体健康危害不大，在不饮用的情况下对人体健康不存在暴露途径，因此对未来居民不存在健康风险</w:t>
      </w:r>
      <w:r>
        <w:rPr>
          <w:rFonts w:hint="eastAsia" w:cs="Times New Roman"/>
        </w:rPr>
        <w:t>，</w:t>
      </w:r>
      <w:r>
        <w:rPr>
          <w:rFonts w:cs="Times New Roman"/>
        </w:rPr>
        <w:t>整体认为地块无需启动详细调查及风险评估工作，本地块调查工作到该阶段（技术路线第二阶段）结束。该地块用地性质规划为</w:t>
      </w:r>
      <w:r>
        <w:rPr>
          <w:rFonts w:cs="Times New Roman"/>
          <w:color w:val="000000"/>
        </w:rPr>
        <w:t>居住用地</w:t>
      </w:r>
      <w:r>
        <w:rPr>
          <w:rFonts w:cs="Times New Roman"/>
        </w:rPr>
        <w:t>，即《土壤环境质量 建设用地土壤污染风险管控标准（试行）》（GB 36600-2018）中的第一类用地进行评价，根据监测结果分析，本地块达到一类用地标准，因此本地块可作为</w:t>
      </w:r>
      <w:r>
        <w:rPr>
          <w:rFonts w:cs="Times New Roman"/>
          <w:color w:val="000000"/>
        </w:rPr>
        <w:t>居住用地</w:t>
      </w:r>
      <w:r>
        <w:rPr>
          <w:rFonts w:cs="Times New Roman"/>
        </w:rPr>
        <w:t>安全利用</w:t>
      </w:r>
      <w:r>
        <w:rPr>
          <w:rFonts w:hint="default" w:ascii="Times New Roman" w:hAnsi="Times New Roman" w:cs="Times New Roman"/>
        </w:rPr>
        <w:t>。</w:t>
      </w:r>
    </w:p>
    <w:p>
      <w:pPr>
        <w:bidi w:val="0"/>
        <w:spacing w:line="500" w:lineRule="exact"/>
        <w:ind w:firstLine="480"/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</w:p>
    <w:p>
      <w:pPr>
        <w:rPr>
          <w:highlight w:val="yellow"/>
        </w:rPr>
      </w:pPr>
    </w:p>
    <w:p>
      <w:pPr>
        <w:rPr>
          <w:highlight w:val="yello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1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E3MDlmZDk0ZTgyYmYwYzYxYTNkMDk4MmRiZWQzYzkifQ=="/>
  </w:docVars>
  <w:rsids>
    <w:rsidRoot w:val="40587069"/>
    <w:rsid w:val="058549D8"/>
    <w:rsid w:val="0A414C6F"/>
    <w:rsid w:val="0B071994"/>
    <w:rsid w:val="0B506AD7"/>
    <w:rsid w:val="119732E4"/>
    <w:rsid w:val="15E60FE4"/>
    <w:rsid w:val="1AB07444"/>
    <w:rsid w:val="1BEA5670"/>
    <w:rsid w:val="1EAB6FB2"/>
    <w:rsid w:val="25CD574E"/>
    <w:rsid w:val="27706631"/>
    <w:rsid w:val="2D3B5B48"/>
    <w:rsid w:val="2EF673B4"/>
    <w:rsid w:val="2F1A0FB0"/>
    <w:rsid w:val="35034D59"/>
    <w:rsid w:val="3561147E"/>
    <w:rsid w:val="3ACA050B"/>
    <w:rsid w:val="3DEA3F0F"/>
    <w:rsid w:val="40587069"/>
    <w:rsid w:val="411B268F"/>
    <w:rsid w:val="42601F5A"/>
    <w:rsid w:val="43227F76"/>
    <w:rsid w:val="478E25F1"/>
    <w:rsid w:val="4C4243A5"/>
    <w:rsid w:val="527B14DD"/>
    <w:rsid w:val="54EB55C5"/>
    <w:rsid w:val="5663028C"/>
    <w:rsid w:val="56844267"/>
    <w:rsid w:val="585A166B"/>
    <w:rsid w:val="61EA4E6B"/>
    <w:rsid w:val="65BC06D2"/>
    <w:rsid w:val="66484717"/>
    <w:rsid w:val="671D3E81"/>
    <w:rsid w:val="71B34BA5"/>
    <w:rsid w:val="734D7008"/>
    <w:rsid w:val="77E6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20" w:lineRule="exact"/>
      <w:ind w:firstLine="883" w:firstLineChars="200"/>
      <w:jc w:val="both"/>
    </w:pPr>
    <w:rPr>
      <w:rFonts w:ascii="Times New Roman" w:hAnsi="Times New Roman" w:eastAsia="宋体" w:cstheme="minorBidi"/>
      <w:kern w:val="2"/>
      <w:sz w:val="24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180" w:after="180" w:line="480" w:lineRule="exact"/>
      <w:ind w:firstLine="0" w:firstLineChars="0"/>
      <w:jc w:val="left"/>
      <w:outlineLvl w:val="0"/>
    </w:pPr>
    <w:rPr>
      <w:rFonts w:ascii="Times New Roman" w:hAnsi="Times New Roman" w:eastAsia="宋体"/>
      <w:b/>
      <w:kern w:val="44"/>
      <w:sz w:val="32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pacing w:before="120" w:after="120"/>
      <w:ind w:firstLine="0" w:firstLineChars="0"/>
      <w:jc w:val="left"/>
      <w:outlineLvl w:val="1"/>
    </w:pPr>
    <w:rPr>
      <w:b/>
      <w:sz w:val="30"/>
      <w:szCs w:val="32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before="0" w:beforeLines="0" w:after="0" w:line="520" w:lineRule="exact"/>
      <w:ind w:firstLine="0" w:firstLineChars="0"/>
      <w:jc w:val="left"/>
      <w:outlineLvl w:val="3"/>
    </w:pPr>
    <w:rPr>
      <w:rFonts w:ascii="Arial" w:hAnsi="Arial" w:eastAsia="宋体"/>
      <w:b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ind w:firstLine="420" w:firstLineChars="200"/>
    </w:pPr>
  </w:style>
  <w:style w:type="paragraph" w:styleId="6">
    <w:name w:val="Body Text"/>
    <w:basedOn w:val="1"/>
    <w:next w:val="1"/>
    <w:qFormat/>
    <w:uiPriority w:val="0"/>
    <w:pPr>
      <w:snapToGrid w:val="0"/>
      <w:jc w:val="center"/>
    </w:pPr>
    <w:rPr>
      <w:rFonts w:ascii="Arial" w:hAnsi="Arial"/>
      <w:sz w:val="24"/>
      <w:szCs w:val="20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1393</Words>
  <Characters>1451</Characters>
  <Lines>0</Lines>
  <Paragraphs>0</Paragraphs>
  <TotalTime>0</TotalTime>
  <ScaleCrop>false</ScaleCrop>
  <LinksUpToDate>false</LinksUpToDate>
  <CharactersWithSpaces>1463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2020-06-22T02:54:00Z</dcterms:created>
  <dc:creator>李广鹏</dc:creator>
  <cp:lastModifiedBy>Administrator</cp:lastModifiedBy>
  <dcterms:modified xsi:type="dcterms:W3CDTF">2022-09-28T01:11:55Z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83015858B7964D72A950C8FEDE47A06C</vt:lpwstr>
  </property>
</Properties>
</file>