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firstLine="900" w:firstLineChars="300"/>
        <w:rPr>
          <w:rFonts w:hint="eastAsia" w:eastAsia="宋体"/>
          <w:color w:val="auto"/>
          <w:sz w:val="30"/>
          <w:szCs w:val="30"/>
          <w:lang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position w:val="-54"/>
          <w:sz w:val="22"/>
          <w:szCs w:val="22"/>
          <w:highlight w:val="none"/>
          <w:lang w:val="en-US" w:eastAsia="zh-CN"/>
        </w:rPr>
      </w:pPr>
    </w:p>
    <w:p>
      <w:pPr>
        <w:pStyle w:val="7"/>
        <w:topLinePunct/>
        <w:spacing w:line="1000" w:lineRule="exact"/>
        <w:ind w:firstLine="0" w:firstLineChars="0"/>
        <w:rPr>
          <w:rFonts w:hint="eastAsia" w:ascii="宋体" w:hAnsi="宋体" w:eastAsia="宋体" w:cs="宋体"/>
          <w:b/>
          <w:bCs/>
          <w:color w:val="auto"/>
          <w:spacing w:val="20"/>
          <w:sz w:val="56"/>
          <w:szCs w:val="56"/>
          <w:highlight w:val="yellow"/>
          <w:lang w:eastAsia="zh-CN"/>
        </w:rPr>
      </w:pPr>
      <w:r>
        <w:rPr>
          <w:rFonts w:hint="default" w:ascii="Times New Roman" w:hAnsi="Times New Roman" w:eastAsia="宋体" w:cs="Times New Roman"/>
          <w:b/>
          <w:bCs/>
          <w:color w:val="auto"/>
          <w:spacing w:val="20"/>
          <w:sz w:val="48"/>
          <w:szCs w:val="48"/>
          <w:lang w:eastAsia="zh-CN"/>
        </w:rPr>
        <w:t>沧州市新华区原造纸厂区域棚户区C2地块土壤污染状况调查报告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w:t>
      </w:r>
      <w:r>
        <w:rPr>
          <w:rFonts w:hint="eastAsia" w:ascii="Times New Roman" w:hAnsi="Times New Roman" w:eastAsia="宋体" w:cs="Times New Roman"/>
          <w:b/>
          <w:bCs/>
          <w:color w:val="auto"/>
          <w:sz w:val="36"/>
          <w:szCs w:val="36"/>
          <w:highlight w:val="none"/>
          <w:lang w:eastAsia="zh-CN"/>
        </w:rPr>
        <w:t>公示本</w:t>
      </w:r>
      <w:r>
        <w:rPr>
          <w:rFonts w:hint="default" w:ascii="Times New Roman" w:hAnsi="Times New Roman" w:eastAsia="宋体" w:cs="Times New Roman"/>
          <w:b/>
          <w:bCs/>
          <w:color w:val="auto"/>
          <w:sz w:val="36"/>
          <w:szCs w:val="36"/>
          <w:highlight w:val="none"/>
        </w:rPr>
        <w:t>）</w:t>
      </w:r>
    </w:p>
    <w:p>
      <w:pPr>
        <w:pStyle w:val="7"/>
        <w:topLinePunct/>
        <w:spacing w:line="360" w:lineRule="auto"/>
        <w:ind w:firstLine="0" w:firstLineChars="0"/>
        <w:rPr>
          <w:rFonts w:hint="eastAsia" w:ascii="Times New Roman" w:hAnsi="Times New Roman" w:eastAsia="宋体" w:cs="Times New Roman"/>
          <w:b/>
          <w:color w:val="auto"/>
          <w:spacing w:val="20"/>
          <w:sz w:val="72"/>
          <w:szCs w:val="72"/>
          <w:highlight w:val="yellow"/>
          <w:lang w:eastAsia="zh-CN"/>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委托单位：</w:t>
      </w:r>
      <w:r>
        <w:rPr>
          <w:rFonts w:hint="eastAsia" w:ascii="Times New Roman" w:hAnsi="Times New Roman" w:cs="Times New Roman"/>
          <w:b/>
          <w:color w:val="auto"/>
          <w:kern w:val="2"/>
          <w:sz w:val="32"/>
          <w:szCs w:val="32"/>
          <w:highlight w:val="none"/>
          <w:lang w:eastAsia="zh-CN"/>
        </w:rPr>
        <w:t>沧州市新华区房屋征收管理办公室</w:t>
      </w: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编制单位：</w:t>
      </w:r>
      <w:r>
        <w:rPr>
          <w:rFonts w:hint="eastAsia" w:ascii="Times New Roman" w:hAnsi="Times New Roman" w:cs="Times New Roman"/>
          <w:b/>
          <w:color w:val="auto"/>
          <w:kern w:val="2"/>
          <w:sz w:val="32"/>
          <w:szCs w:val="32"/>
          <w:highlight w:val="none"/>
          <w:lang w:eastAsia="zh-CN"/>
        </w:rPr>
        <w:t>河北靓源环保工程有限公司</w:t>
      </w:r>
    </w:p>
    <w:p>
      <w:pPr>
        <w:spacing w:line="360" w:lineRule="auto"/>
        <w:ind w:left="0" w:leftChars="0" w:firstLine="964" w:firstLineChars="300"/>
        <w:rPr>
          <w:rFonts w:ascii="Times New Roman" w:hAnsi="Times New Roman" w:cs="Times New Roman"/>
          <w:color w:val="auto"/>
          <w:sz w:val="30"/>
          <w:szCs w:val="30"/>
        </w:rPr>
      </w:pPr>
      <w:r>
        <w:rPr>
          <w:rFonts w:ascii="Times New Roman" w:hAnsi="Times New Roman" w:cs="Times New Roman"/>
          <w:b/>
          <w:color w:val="auto"/>
          <w:kern w:val="2"/>
          <w:sz w:val="32"/>
          <w:szCs w:val="32"/>
          <w:highlight w:val="none"/>
        </w:rPr>
        <w:t xml:space="preserve">编制日期：二 〇 二 </w:t>
      </w:r>
      <w:r>
        <w:rPr>
          <w:rFonts w:hint="eastAsia" w:ascii="Times New Roman" w:hAnsi="Times New Roman" w:cs="Times New Roman"/>
          <w:b/>
          <w:color w:val="auto"/>
          <w:kern w:val="2"/>
          <w:sz w:val="32"/>
          <w:szCs w:val="32"/>
          <w:highlight w:val="none"/>
          <w:lang w:eastAsia="zh-CN"/>
        </w:rPr>
        <w:t>二</w:t>
      </w:r>
      <w:r>
        <w:rPr>
          <w:rFonts w:ascii="Times New Roman" w:hAnsi="Times New Roman" w:cs="Times New Roman"/>
          <w:b/>
          <w:color w:val="auto"/>
          <w:kern w:val="2"/>
          <w:sz w:val="32"/>
          <w:szCs w:val="32"/>
          <w:highlight w:val="none"/>
        </w:rPr>
        <w:t xml:space="preserve"> 年 </w:t>
      </w:r>
      <w:r>
        <w:rPr>
          <w:rFonts w:hint="eastAsia" w:cs="Times New Roman"/>
          <w:b/>
          <w:color w:val="auto"/>
          <w:kern w:val="2"/>
          <w:sz w:val="32"/>
          <w:szCs w:val="32"/>
          <w:highlight w:val="none"/>
          <w:lang w:eastAsia="zh-CN"/>
        </w:rPr>
        <w:t>七</w:t>
      </w:r>
      <w:r>
        <w:rPr>
          <w:rFonts w:ascii="Times New Roman" w:hAnsi="Times New Roman" w:cs="Times New Roman"/>
          <w:b/>
          <w:color w:val="auto"/>
          <w:kern w:val="2"/>
          <w:sz w:val="32"/>
          <w:szCs w:val="32"/>
          <w:highlight w:val="none"/>
        </w:rPr>
        <w:t xml:space="preserve"> 月</w:t>
      </w:r>
    </w:p>
    <w:p>
      <w:pPr>
        <w:tabs>
          <w:tab w:val="left" w:pos="1803"/>
        </w:tabs>
        <w:bidi w:val="0"/>
        <w:jc w:val="left"/>
        <w:rPr>
          <w:color w:val="auto"/>
          <w:lang w:val="en-US" w:eastAsia="zh-CN"/>
        </w:rPr>
        <w:sectPr>
          <w:pgSz w:w="11906" w:h="16838"/>
          <w:pgMar w:top="1440" w:right="1800" w:bottom="1440" w:left="1800" w:header="851" w:footer="992" w:gutter="0"/>
          <w:cols w:space="425" w:num="1"/>
          <w:docGrid w:type="lines" w:linePitch="312" w:charSpace="0"/>
        </w:sectPr>
      </w:pPr>
    </w:p>
    <w:p>
      <w:pPr>
        <w:pStyle w:val="6"/>
        <w:rPr>
          <w:rFonts w:hint="default" w:ascii="Times New Roman" w:hAnsi="Times New Roman" w:cs="Times New Roman"/>
          <w:color w:val="auto"/>
          <w:highlight w:val="none"/>
        </w:rPr>
      </w:pPr>
      <w:bookmarkStart w:id="0" w:name="_Toc32184"/>
      <w:bookmarkStart w:id="1" w:name="_Toc15590"/>
      <w:bookmarkStart w:id="2" w:name="_Toc16545"/>
      <w:bookmarkStart w:id="3" w:name="_Toc27508"/>
      <w:bookmarkStart w:id="4" w:name="_Toc29623"/>
      <w:bookmarkStart w:id="5" w:name="_Toc3010"/>
      <w:bookmarkStart w:id="6" w:name="_Toc1002"/>
      <w:bookmarkStart w:id="7" w:name="_Toc10094"/>
      <w:bookmarkStart w:id="8" w:name="_Toc6266"/>
      <w:bookmarkStart w:id="9" w:name="_Toc18003"/>
      <w:bookmarkStart w:id="10" w:name="_Toc9131"/>
      <w:bookmarkStart w:id="11" w:name="_Toc28744"/>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lang w:eastAsia="zh-CN"/>
        </w:rPr>
        <w:t>企业</w:t>
      </w:r>
      <w:r>
        <w:rPr>
          <w:rFonts w:hint="default" w:ascii="Times New Roman" w:hAnsi="Times New Roman" w:cs="Times New Roman"/>
          <w:color w:val="auto"/>
          <w:highlight w:val="none"/>
        </w:rPr>
        <w:t>概况</w:t>
      </w:r>
      <w:bookmarkEnd w:id="0"/>
      <w:bookmarkEnd w:id="1"/>
      <w:bookmarkEnd w:id="2"/>
      <w:bookmarkEnd w:id="3"/>
      <w:bookmarkEnd w:id="4"/>
      <w:bookmarkEnd w:id="5"/>
      <w:bookmarkEnd w:id="6"/>
      <w:bookmarkEnd w:id="7"/>
      <w:bookmarkEnd w:id="8"/>
      <w:bookmarkEnd w:id="9"/>
      <w:bookmarkEnd w:id="10"/>
      <w:bookmarkEnd w:id="11"/>
    </w:p>
    <w:p>
      <w:pPr>
        <w:pageBreakBefore w:val="0"/>
        <w:widowControl w:val="0"/>
        <w:kinsoku/>
        <w:wordWrap/>
        <w:overflowPunct/>
        <w:topLinePunct w:val="0"/>
        <w:autoSpaceDE/>
        <w:autoSpaceDN/>
        <w:bidi w:val="0"/>
        <w:adjustRightInd/>
        <w:snapToGrid/>
        <w:spacing w:line="520" w:lineRule="exact"/>
        <w:ind w:firstLine="480"/>
        <w:textAlignment w:val="auto"/>
        <w:rPr>
          <w:rFonts w:hint="default" w:ascii="Times New Roman" w:hAnsi="Times New Roman" w:cs="Times New Roman"/>
          <w:color w:val="auto"/>
          <w:highlight w:val="none"/>
          <w:lang w:val="en-US" w:eastAsia="zh-CN"/>
        </w:rPr>
      </w:pPr>
      <w:bookmarkStart w:id="12" w:name="_Toc25999"/>
      <w:bookmarkStart w:id="13" w:name="_Toc22210"/>
      <w:bookmarkStart w:id="14" w:name="_Toc23724"/>
      <w:bookmarkStart w:id="15" w:name="_Toc1734"/>
      <w:bookmarkStart w:id="16" w:name="_Toc21244"/>
      <w:bookmarkStart w:id="17" w:name="_Toc24902"/>
      <w:bookmarkStart w:id="18" w:name="_Toc24935"/>
      <w:bookmarkStart w:id="19" w:name="_Toc23754"/>
      <w:bookmarkStart w:id="20" w:name="_Toc31102"/>
      <w:bookmarkStart w:id="21" w:name="_Toc11857"/>
      <w:bookmarkStart w:id="22" w:name="_Toc11747"/>
      <w:bookmarkStart w:id="23" w:name="_Toc18210"/>
      <w:r>
        <w:rPr>
          <w:rFonts w:hint="eastAsia" w:cs="Times New Roman"/>
          <w:color w:val="auto"/>
          <w:highlight w:val="none"/>
          <w:lang w:eastAsia="zh-CN"/>
        </w:rPr>
        <w:t>沧州市新华区</w:t>
      </w:r>
      <w:r>
        <w:rPr>
          <w:rFonts w:hint="default" w:ascii="Times New Roman" w:hAnsi="Times New Roman" w:cs="Times New Roman"/>
          <w:color w:val="auto"/>
          <w:highlight w:val="none"/>
          <w:lang w:eastAsia="zh-CN"/>
        </w:rPr>
        <w:t>原造纸厂区域棚户区位于沧州市新华区志强路以南、黄河东路以北、清池南</w:t>
      </w:r>
      <w:r>
        <w:rPr>
          <w:rFonts w:hint="eastAsia" w:cs="Times New Roman"/>
          <w:color w:val="auto"/>
          <w:highlight w:val="none"/>
          <w:lang w:eastAsia="zh-CN"/>
        </w:rPr>
        <w:t>大道</w:t>
      </w:r>
      <w:r>
        <w:rPr>
          <w:rFonts w:hint="default" w:ascii="Times New Roman" w:hAnsi="Times New Roman" w:cs="Times New Roman"/>
          <w:color w:val="auto"/>
          <w:highlight w:val="none"/>
          <w:lang w:eastAsia="zh-CN"/>
        </w:rPr>
        <w:t>以东、交通南</w:t>
      </w:r>
      <w:r>
        <w:rPr>
          <w:rFonts w:hint="eastAsia" w:cs="Times New Roman"/>
          <w:color w:val="auto"/>
          <w:highlight w:val="none"/>
          <w:lang w:eastAsia="zh-CN"/>
        </w:rPr>
        <w:t>大道</w:t>
      </w:r>
      <w:r>
        <w:rPr>
          <w:rFonts w:hint="default" w:ascii="Times New Roman" w:hAnsi="Times New Roman" w:cs="Times New Roman"/>
          <w:color w:val="auto"/>
          <w:highlight w:val="none"/>
          <w:lang w:eastAsia="zh-CN"/>
        </w:rPr>
        <w:t>以西合围区域</w:t>
      </w:r>
      <w:r>
        <w:rPr>
          <w:rFonts w:hint="default" w:ascii="Times New Roman" w:hAnsi="Times New Roman" w:cs="Times New Roman" w:eastAsiaTheme="minorEastAsia"/>
          <w:b w:val="0"/>
          <w:bCs w:val="0"/>
          <w:color w:val="auto"/>
          <w:sz w:val="24"/>
          <w:szCs w:val="24"/>
          <w:highlight w:val="none"/>
          <w:lang w:eastAsia="zh-CN"/>
        </w:rPr>
        <w:t>。</w:t>
      </w:r>
      <w:r>
        <w:rPr>
          <w:rFonts w:hint="eastAsia" w:cs="Times New Roman" w:eastAsiaTheme="minorEastAsia"/>
          <w:b w:val="0"/>
          <w:bCs w:val="0"/>
          <w:color w:val="auto"/>
          <w:sz w:val="24"/>
          <w:szCs w:val="24"/>
          <w:highlight w:val="none"/>
          <w:lang w:eastAsia="zh-CN"/>
        </w:rPr>
        <w:t>该</w:t>
      </w:r>
      <w:r>
        <w:rPr>
          <w:rFonts w:hint="default" w:ascii="Times New Roman" w:hAnsi="Times New Roman" w:cs="Times New Roman"/>
          <w:color w:val="auto"/>
          <w:highlight w:val="none"/>
          <w:lang w:eastAsia="zh-CN"/>
        </w:rPr>
        <w:t>棚户区</w:t>
      </w:r>
      <w:r>
        <w:rPr>
          <w:rFonts w:hint="eastAsia" w:cs="Times New Roman"/>
          <w:color w:val="auto"/>
          <w:highlight w:val="none"/>
          <w:lang w:eastAsia="zh-CN"/>
        </w:rPr>
        <w:t>根据未来规划及开发进度共划</w:t>
      </w:r>
      <w:r>
        <w:rPr>
          <w:rFonts w:hint="default" w:ascii="Times New Roman" w:hAnsi="Times New Roman" w:cs="Times New Roman"/>
          <w:color w:val="auto"/>
          <w:highlight w:val="none"/>
          <w:lang w:eastAsia="zh-CN"/>
        </w:rPr>
        <w:t>分为</w:t>
      </w:r>
      <w:r>
        <w:rPr>
          <w:rFonts w:hint="eastAsia" w:cs="Times New Roman"/>
          <w:color w:val="auto"/>
          <w:highlight w:val="none"/>
          <w:lang w:eastAsia="zh-CN"/>
        </w:rPr>
        <w:t>五</w:t>
      </w:r>
      <w:r>
        <w:rPr>
          <w:rFonts w:hint="default" w:ascii="Times New Roman" w:hAnsi="Times New Roman" w:cs="Times New Roman"/>
          <w:color w:val="auto"/>
          <w:highlight w:val="none"/>
          <w:lang w:eastAsia="zh-CN"/>
        </w:rPr>
        <w:t>个部分，第一部分A地块，第二部分</w:t>
      </w:r>
      <w:r>
        <w:rPr>
          <w:rFonts w:hint="eastAsia" w:cs="Times New Roman"/>
          <w:color w:val="auto"/>
          <w:highlight w:val="none"/>
          <w:lang w:val="en-US" w:eastAsia="zh-CN"/>
        </w:rPr>
        <w:t>D</w:t>
      </w:r>
      <w:r>
        <w:rPr>
          <w:rFonts w:hint="default" w:ascii="Times New Roman" w:hAnsi="Times New Roman" w:cs="Times New Roman"/>
          <w:color w:val="auto"/>
          <w:highlight w:val="none"/>
          <w:lang w:eastAsia="zh-CN"/>
        </w:rPr>
        <w:t>地块，第</w:t>
      </w:r>
      <w:r>
        <w:rPr>
          <w:rFonts w:hint="eastAsia" w:cs="Times New Roman"/>
          <w:color w:val="auto"/>
          <w:highlight w:val="none"/>
          <w:lang w:eastAsia="zh-CN"/>
        </w:rPr>
        <w:t>三</w:t>
      </w:r>
      <w:r>
        <w:rPr>
          <w:rFonts w:hint="default" w:ascii="Times New Roman" w:hAnsi="Times New Roman" w:cs="Times New Roman"/>
          <w:color w:val="auto"/>
          <w:highlight w:val="none"/>
          <w:lang w:eastAsia="zh-CN"/>
        </w:rPr>
        <w:t>部分B1、C1地块，第</w:t>
      </w:r>
      <w:r>
        <w:rPr>
          <w:rFonts w:hint="eastAsia" w:cs="Times New Roman"/>
          <w:color w:val="auto"/>
          <w:highlight w:val="none"/>
          <w:lang w:eastAsia="zh-CN"/>
        </w:rPr>
        <w:t>四</w:t>
      </w:r>
      <w:r>
        <w:rPr>
          <w:rFonts w:hint="default" w:ascii="Times New Roman" w:hAnsi="Times New Roman" w:cs="Times New Roman"/>
          <w:color w:val="auto"/>
          <w:highlight w:val="none"/>
          <w:lang w:eastAsia="zh-CN"/>
        </w:rPr>
        <w:t>部分B2地块，第</w:t>
      </w:r>
      <w:r>
        <w:rPr>
          <w:rFonts w:hint="eastAsia" w:cs="Times New Roman"/>
          <w:color w:val="auto"/>
          <w:highlight w:val="none"/>
          <w:lang w:eastAsia="zh-CN"/>
        </w:rPr>
        <w:t>五</w:t>
      </w:r>
      <w:r>
        <w:rPr>
          <w:rFonts w:hint="default" w:ascii="Times New Roman" w:hAnsi="Times New Roman" w:cs="Times New Roman"/>
          <w:color w:val="auto"/>
          <w:highlight w:val="none"/>
          <w:lang w:eastAsia="zh-CN"/>
        </w:rPr>
        <w:t>部分C2地块。</w:t>
      </w:r>
      <w:r>
        <w:rPr>
          <w:rFonts w:hint="default" w:ascii="Times New Roman" w:hAnsi="Times New Roman" w:cs="Times New Roman" w:eastAsiaTheme="minorEastAsia"/>
          <w:b w:val="0"/>
          <w:bCs w:val="0"/>
          <w:color w:val="auto"/>
          <w:sz w:val="24"/>
          <w:szCs w:val="24"/>
          <w:highlight w:val="none"/>
          <w:lang w:eastAsia="zh-CN"/>
        </w:rPr>
        <w:t>本次调查范围为</w:t>
      </w:r>
      <w:r>
        <w:rPr>
          <w:rFonts w:hint="eastAsia" w:cs="Times New Roman" w:eastAsiaTheme="minorEastAsia"/>
          <w:b w:val="0"/>
          <w:bCs w:val="0"/>
          <w:color w:val="auto"/>
          <w:sz w:val="24"/>
          <w:szCs w:val="24"/>
          <w:highlight w:val="none"/>
          <w:lang w:eastAsia="zh-CN"/>
        </w:rPr>
        <w:t>该</w:t>
      </w:r>
      <w:r>
        <w:rPr>
          <w:rFonts w:hint="default" w:ascii="Times New Roman" w:hAnsi="Times New Roman" w:cs="Times New Roman" w:eastAsiaTheme="minorEastAsia"/>
          <w:b w:val="0"/>
          <w:bCs w:val="0"/>
          <w:color w:val="auto"/>
          <w:sz w:val="24"/>
          <w:szCs w:val="24"/>
          <w:highlight w:val="none"/>
          <w:lang w:eastAsia="zh-CN"/>
        </w:rPr>
        <w:t>棚户区</w:t>
      </w:r>
      <w:r>
        <w:rPr>
          <w:rFonts w:hint="eastAsia" w:cs="Times New Roman" w:eastAsiaTheme="minorEastAsia"/>
          <w:b w:val="0"/>
          <w:bCs w:val="0"/>
          <w:color w:val="auto"/>
          <w:sz w:val="24"/>
          <w:szCs w:val="24"/>
          <w:highlight w:val="none"/>
          <w:lang w:eastAsia="zh-CN"/>
        </w:rPr>
        <w:t>内</w:t>
      </w:r>
      <w:r>
        <w:rPr>
          <w:rFonts w:hint="default" w:ascii="Times New Roman" w:hAnsi="Times New Roman" w:cs="Times New Roman" w:eastAsiaTheme="minorEastAsia"/>
          <w:b w:val="0"/>
          <w:bCs w:val="0"/>
          <w:color w:val="auto"/>
          <w:sz w:val="24"/>
          <w:szCs w:val="24"/>
          <w:highlight w:val="none"/>
          <w:lang w:eastAsia="zh-CN"/>
        </w:rPr>
        <w:t>C2地块，</w:t>
      </w:r>
      <w:r>
        <w:rPr>
          <w:rFonts w:hint="default" w:ascii="Times New Roman" w:hAnsi="Times New Roman" w:cs="Times New Roman"/>
          <w:color w:val="auto"/>
          <w:highlight w:val="none"/>
          <w:lang w:eastAsia="zh-CN"/>
        </w:rPr>
        <w:t>地块东至</w:t>
      </w:r>
      <w:r>
        <w:rPr>
          <w:rFonts w:hint="eastAsia" w:ascii="Times New Roman" w:hAnsi="Times New Roman" w:cs="Times New Roman"/>
          <w:color w:val="auto"/>
          <w:highlight w:val="none"/>
          <w:lang w:eastAsia="zh-CN"/>
        </w:rPr>
        <w:t>交通南</w:t>
      </w:r>
      <w:r>
        <w:rPr>
          <w:rFonts w:hint="eastAsia" w:cs="Times New Roman"/>
          <w:color w:val="auto"/>
          <w:highlight w:val="none"/>
          <w:lang w:eastAsia="zh-CN"/>
        </w:rPr>
        <w:t>大道</w:t>
      </w:r>
      <w:r>
        <w:rPr>
          <w:rFonts w:hint="default" w:ascii="Times New Roman" w:hAnsi="Times New Roman" w:cs="Times New Roman"/>
          <w:color w:val="auto"/>
          <w:highlight w:val="none"/>
          <w:lang w:eastAsia="zh-CN"/>
        </w:rPr>
        <w:t>，南至黄河东路</w:t>
      </w:r>
      <w:r>
        <w:rPr>
          <w:rFonts w:hint="default" w:ascii="Times New Roman" w:hAnsi="Times New Roman" w:cs="Times New Roman"/>
          <w:color w:val="auto"/>
          <w:highlight w:val="none"/>
          <w:lang w:val="en-US" w:eastAsia="zh-CN"/>
        </w:rPr>
        <w:t>，</w:t>
      </w:r>
      <w:r>
        <w:rPr>
          <w:rFonts w:hint="default" w:ascii="Times New Roman" w:hAnsi="Times New Roman" w:cs="Times New Roman"/>
          <w:color w:val="auto"/>
          <w:highlight w:val="none"/>
          <w:lang w:eastAsia="zh-CN"/>
        </w:rPr>
        <w:t>西至该棚户区</w:t>
      </w:r>
      <w:r>
        <w:rPr>
          <w:rFonts w:hint="default" w:ascii="Times New Roman" w:hAnsi="Times New Roman" w:cs="Times New Roman"/>
          <w:color w:val="auto"/>
          <w:highlight w:val="none"/>
          <w:lang w:val="en-US" w:eastAsia="zh-CN"/>
        </w:rPr>
        <w:t>B</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eastAsia="zh-CN"/>
        </w:rPr>
        <w:t>地块</w:t>
      </w:r>
      <w:r>
        <w:rPr>
          <w:rFonts w:hint="default" w:ascii="Times New Roman" w:hAnsi="Times New Roman" w:cs="Times New Roman"/>
          <w:color w:val="auto"/>
          <w:highlight w:val="none"/>
          <w:lang w:eastAsia="zh-CN"/>
        </w:rPr>
        <w:t>，北至该棚户区</w:t>
      </w:r>
      <w:r>
        <w:rPr>
          <w:rFonts w:hint="default" w:ascii="Times New Roman" w:hAnsi="Times New Roman" w:cs="Times New Roman"/>
          <w:color w:val="auto"/>
          <w:highlight w:val="none"/>
          <w:lang w:val="en-US" w:eastAsia="zh-CN"/>
        </w:rPr>
        <w:t>B1、C1地块，</w:t>
      </w:r>
      <w:r>
        <w:rPr>
          <w:rFonts w:hint="default" w:ascii="Times New Roman" w:hAnsi="Times New Roman" w:cs="Times New Roman" w:eastAsiaTheme="minorEastAsia"/>
          <w:b w:val="0"/>
          <w:bCs w:val="0"/>
          <w:color w:val="auto"/>
          <w:sz w:val="24"/>
          <w:szCs w:val="24"/>
          <w:highlight w:val="none"/>
          <w:lang w:eastAsia="zh-CN"/>
        </w:rPr>
        <w:t>占地面积</w:t>
      </w:r>
      <w:r>
        <w:rPr>
          <w:rFonts w:hint="default" w:ascii="Times New Roman" w:hAnsi="Times New Roman" w:cs="Times New Roman" w:eastAsiaTheme="minorEastAsia"/>
          <w:b w:val="0"/>
          <w:bCs w:val="0"/>
          <w:color w:val="auto"/>
          <w:sz w:val="24"/>
          <w:szCs w:val="24"/>
          <w:highlight w:val="none"/>
          <w:lang w:val="en-US" w:eastAsia="zh-CN"/>
        </w:rPr>
        <w:t>245</w:t>
      </w:r>
      <w:r>
        <w:rPr>
          <w:rFonts w:hint="eastAsia" w:cs="Times New Roman" w:eastAsiaTheme="minorEastAsia"/>
          <w:b w:val="0"/>
          <w:bCs w:val="0"/>
          <w:color w:val="auto"/>
          <w:sz w:val="24"/>
          <w:szCs w:val="24"/>
          <w:highlight w:val="none"/>
          <w:lang w:val="en-US" w:eastAsia="zh-CN"/>
        </w:rPr>
        <w:t>38.83</w:t>
      </w:r>
      <w:r>
        <w:rPr>
          <w:rFonts w:hint="default" w:ascii="Times New Roman" w:hAnsi="Times New Roman" w:cs="Times New Roman"/>
          <w:color w:val="auto"/>
          <w:highlight w:val="none"/>
          <w:lang w:val="en-US" w:eastAsia="zh-CN"/>
        </w:rPr>
        <w:t>m</w:t>
      </w:r>
      <w:r>
        <w:rPr>
          <w:rFonts w:hint="default" w:ascii="Times New Roman" w:hAnsi="Times New Roman" w:cs="Times New Roman"/>
          <w:color w:val="auto"/>
          <w:highlight w:val="none"/>
          <w:vertAlign w:val="superscript"/>
          <w:lang w:val="en-US" w:eastAsia="zh-CN"/>
        </w:rPr>
        <w:t>2</w:t>
      </w:r>
      <w:r>
        <w:rPr>
          <w:rFonts w:hint="default" w:ascii="Times New Roman" w:hAnsi="Times New Roman" w:cs="Times New Roman"/>
          <w:color w:val="auto"/>
          <w:highlight w:val="none"/>
          <w:vertAlign w:val="baseline"/>
          <w:lang w:val="en-US" w:eastAsia="zh-CN"/>
        </w:rPr>
        <w:t>（</w:t>
      </w:r>
      <w:r>
        <w:rPr>
          <w:rFonts w:hint="default" w:ascii="Times New Roman" w:hAnsi="Times New Roman" w:cs="Times New Roman"/>
          <w:color w:val="auto"/>
          <w:highlight w:val="none"/>
          <w:lang w:eastAsia="zh-CN"/>
        </w:rPr>
        <w:t>约合</w:t>
      </w:r>
      <w:r>
        <w:rPr>
          <w:rFonts w:hint="eastAsia" w:cs="Times New Roman"/>
          <w:color w:val="auto"/>
          <w:highlight w:val="none"/>
          <w:lang w:val="en-US" w:eastAsia="zh-CN"/>
        </w:rPr>
        <w:t>36.8082</w:t>
      </w:r>
      <w:r>
        <w:rPr>
          <w:rFonts w:hint="default" w:ascii="Times New Roman" w:hAnsi="Times New Roman" w:cs="Times New Roman"/>
          <w:color w:val="auto"/>
          <w:highlight w:val="none"/>
          <w:lang w:val="en-US" w:eastAsia="zh-CN"/>
        </w:rPr>
        <w:t>亩</w:t>
      </w:r>
      <w:r>
        <w:rPr>
          <w:rFonts w:hint="default" w:ascii="Times New Roman" w:hAnsi="Times New Roman" w:cs="Times New Roman"/>
          <w:color w:val="auto"/>
          <w:highlight w:val="none"/>
          <w:vertAlign w:val="baseline"/>
          <w:lang w:val="en-US" w:eastAsia="zh-CN"/>
        </w:rPr>
        <w:t>）</w:t>
      </w:r>
      <w:r>
        <w:rPr>
          <w:rFonts w:hint="default" w:ascii="Times New Roman" w:hAnsi="Times New Roman" w:cs="Times New Roman" w:eastAsiaTheme="minorEastAsia"/>
          <w:b w:val="0"/>
          <w:bCs w:val="0"/>
          <w:color w:val="auto"/>
          <w:sz w:val="24"/>
          <w:szCs w:val="24"/>
          <w:highlight w:val="none"/>
          <w:lang w:val="en-US" w:eastAsia="zh-CN"/>
        </w:rPr>
        <w:t>，</w:t>
      </w:r>
      <w:r>
        <w:rPr>
          <w:rFonts w:hint="default" w:ascii="Times New Roman" w:hAnsi="Times New Roman" w:cs="Times New Roman"/>
          <w:color w:val="auto"/>
          <w:sz w:val="24"/>
          <w:szCs w:val="24"/>
          <w:highlight w:val="none"/>
        </w:rPr>
        <w:t>中心坐标东经116</w:t>
      </w:r>
      <w:r>
        <w:rPr>
          <w:rFonts w:hint="eastAsia" w:cs="Times New Roman"/>
          <w:color w:val="auto"/>
          <w:sz w:val="24"/>
          <w:szCs w:val="24"/>
          <w:highlight w:val="none"/>
          <w:lang w:val="en-US" w:eastAsia="zh-CN"/>
        </w:rPr>
        <w:t>.86031</w:t>
      </w:r>
      <w:r>
        <w:rPr>
          <w:rFonts w:hint="default" w:ascii="Times New Roman" w:hAnsi="Times New Roman" w:cs="Times New Roman"/>
          <w:color w:val="auto"/>
          <w:sz w:val="24"/>
          <w:szCs w:val="24"/>
          <w:highlight w:val="none"/>
        </w:rPr>
        <w:t>°，北纬</w:t>
      </w:r>
      <w:r>
        <w:rPr>
          <w:rFonts w:hint="default" w:ascii="Times New Roman" w:hAnsi="Times New Roman" w:cs="Times New Roman"/>
          <w:color w:val="auto"/>
          <w:sz w:val="24"/>
          <w:szCs w:val="24"/>
          <w:highlight w:val="none"/>
          <w:lang w:eastAsia="zh-CN"/>
        </w:rPr>
        <w:t>38</w:t>
      </w:r>
      <w:r>
        <w:rPr>
          <w:rFonts w:hint="eastAsia" w:cs="Times New Roman"/>
          <w:color w:val="auto"/>
          <w:sz w:val="24"/>
          <w:szCs w:val="24"/>
          <w:highlight w:val="none"/>
          <w:lang w:val="en-US" w:eastAsia="zh-CN"/>
        </w:rPr>
        <w:t>.29291</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eastAsiaTheme="minorEastAsia"/>
          <w:b w:val="0"/>
          <w:bCs w:val="0"/>
          <w:color w:val="auto"/>
          <w:sz w:val="24"/>
          <w:szCs w:val="24"/>
          <w:highlight w:val="none"/>
          <w:lang w:val="en-US" w:eastAsia="zh-CN"/>
        </w:rPr>
        <w:t>主要包括原</w:t>
      </w:r>
      <w:r>
        <w:rPr>
          <w:rFonts w:hint="default" w:ascii="Times New Roman" w:hAnsi="Times New Roman" w:cs="Times New Roman"/>
          <w:color w:val="auto"/>
          <w:highlight w:val="none"/>
          <w:lang w:val="en-US" w:eastAsia="zh-CN"/>
        </w:rPr>
        <w:t>沧州市造纸厂白水回收部分区域、原</w:t>
      </w:r>
      <w:r>
        <w:rPr>
          <w:rFonts w:hint="default" w:ascii="Times New Roman" w:hAnsi="Times New Roman" w:cs="Times New Roman" w:eastAsiaTheme="minorEastAsia"/>
          <w:b w:val="0"/>
          <w:bCs w:val="0"/>
          <w:color w:val="auto"/>
          <w:sz w:val="24"/>
          <w:szCs w:val="24"/>
          <w:highlight w:val="none"/>
          <w:lang w:eastAsia="zh-CN"/>
        </w:rPr>
        <w:t>沧州市化工实业集团有限公司成品库及办公区、原佟家花园奶牛场。目前</w:t>
      </w:r>
      <w:r>
        <w:rPr>
          <w:rFonts w:hint="default" w:ascii="Times New Roman" w:hAnsi="Times New Roman" w:cs="Times New Roman"/>
          <w:color w:val="auto"/>
          <w:sz w:val="24"/>
          <w:szCs w:val="24"/>
          <w:highlight w:val="none"/>
        </w:rPr>
        <w:t>沧州造纸厂</w:t>
      </w:r>
      <w:r>
        <w:rPr>
          <w:rFonts w:hint="default" w:ascii="Times New Roman" w:hAnsi="Times New Roman" w:cs="Times New Roman"/>
          <w:color w:val="auto"/>
          <w:sz w:val="24"/>
          <w:szCs w:val="24"/>
          <w:highlight w:val="none"/>
          <w:lang w:eastAsia="zh-CN"/>
        </w:rPr>
        <w:t>原生产厂区</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b w:val="0"/>
          <w:bCs w:val="0"/>
          <w:color w:val="auto"/>
          <w:sz w:val="24"/>
          <w:szCs w:val="24"/>
          <w:highlight w:val="none"/>
          <w:lang w:eastAsia="zh-CN"/>
        </w:rPr>
        <w:t>沧州市化工实业集团有限公司和佟家花园奶牛场</w:t>
      </w:r>
      <w:r>
        <w:rPr>
          <w:rFonts w:hint="default" w:ascii="Times New Roman" w:hAnsi="Times New Roman" w:cs="Times New Roman"/>
          <w:color w:val="auto"/>
          <w:sz w:val="24"/>
          <w:szCs w:val="24"/>
          <w:highlight w:val="none"/>
          <w:lang w:eastAsia="zh-CN"/>
        </w:rPr>
        <w:t>建筑及设备已全部拆除，现状为平地</w:t>
      </w:r>
      <w:r>
        <w:rPr>
          <w:rFonts w:hint="default" w:ascii="Times New Roman" w:hAnsi="Times New Roman" w:cs="Times New Roman" w:eastAsiaTheme="minorEastAsia"/>
          <w:b w:val="0"/>
          <w:bCs w:val="0"/>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480" w:lineRule="exact"/>
        <w:ind w:firstLine="480"/>
        <w:textAlignment w:val="auto"/>
        <w:rPr>
          <w:color w:val="auto"/>
        </w:rPr>
      </w:pPr>
      <w:r>
        <w:rPr>
          <w:rFonts w:hint="default" w:ascii="Times New Roman" w:hAnsi="Times New Roman" w:cs="Times New Roman" w:eastAsiaTheme="minorEastAsia"/>
          <w:b w:val="0"/>
          <w:bCs w:val="0"/>
          <w:color w:val="auto"/>
          <w:sz w:val="24"/>
          <w:szCs w:val="24"/>
          <w:highlight w:val="none"/>
          <w:lang w:eastAsia="zh-CN"/>
        </w:rPr>
        <w:t>沧州市新华区原造纸厂区域棚户区C2地块</w:t>
      </w:r>
      <w:r>
        <w:rPr>
          <w:rFonts w:hint="default" w:ascii="Times New Roman" w:hAnsi="Times New Roman" w:cs="Times New Roman"/>
          <w:color w:val="auto"/>
          <w:highlight w:val="none"/>
          <w:lang w:eastAsia="zh-CN"/>
        </w:rPr>
        <w:t>原土地</w:t>
      </w:r>
      <w:r>
        <w:rPr>
          <w:rFonts w:hint="default" w:ascii="Times New Roman" w:hAnsi="Times New Roman" w:cs="Times New Roman"/>
          <w:color w:val="auto"/>
          <w:highlight w:val="none"/>
        </w:rPr>
        <w:t>性质为工业用地，规划</w:t>
      </w:r>
      <w:r>
        <w:rPr>
          <w:rFonts w:hint="eastAsia" w:cs="Times New Roman"/>
          <w:color w:val="auto"/>
          <w:highlight w:val="none"/>
          <w:lang w:eastAsia="zh-CN"/>
        </w:rPr>
        <w:t>用途</w:t>
      </w:r>
      <w:r>
        <w:rPr>
          <w:rFonts w:hint="default" w:ascii="Times New Roman" w:hAnsi="Times New Roman" w:cs="Times New Roman"/>
          <w:color w:val="auto"/>
          <w:highlight w:val="none"/>
        </w:rPr>
        <w:t>为居住用地</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根据《中华人民共和国土壤污染防治法》第五十九条：用途变更为住宅、公共管理与公共服务用地的，变更前应当按照规定进行土壤污染状况调查。</w:t>
      </w:r>
      <w:r>
        <w:rPr>
          <w:rFonts w:hint="default" w:ascii="Times New Roman" w:hAnsi="Times New Roman" w:cs="Times New Roman"/>
          <w:snapToGrid w:val="0"/>
          <w:color w:val="auto"/>
          <w:szCs w:val="22"/>
          <w:highlight w:val="none"/>
        </w:rPr>
        <w:t>地块再次</w:t>
      </w:r>
      <w:r>
        <w:rPr>
          <w:rFonts w:hint="default" w:ascii="Times New Roman" w:hAnsi="Times New Roman" w:cs="Times New Roman"/>
          <w:color w:val="auto"/>
          <w:highlight w:val="none"/>
        </w:rPr>
        <w:t>开发利用之前，需要对其开展土壤污染状况调查工作，确保满足后续用地的要求。</w:t>
      </w:r>
    </w:p>
    <w:bookmarkEnd w:id="12"/>
    <w:bookmarkEnd w:id="13"/>
    <w:bookmarkEnd w:id="14"/>
    <w:bookmarkEnd w:id="15"/>
    <w:bookmarkEnd w:id="16"/>
    <w:bookmarkEnd w:id="17"/>
    <w:bookmarkEnd w:id="18"/>
    <w:bookmarkEnd w:id="19"/>
    <w:bookmarkEnd w:id="20"/>
    <w:bookmarkEnd w:id="21"/>
    <w:bookmarkEnd w:id="22"/>
    <w:bookmarkEnd w:id="23"/>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24" w:name="_Toc14783"/>
      <w:bookmarkStart w:id="25" w:name="_Toc26116"/>
      <w:bookmarkStart w:id="26" w:name="_Toc27021"/>
      <w:r>
        <w:rPr>
          <w:rFonts w:hint="default" w:ascii="Times New Roman" w:hAnsi="Times New Roman" w:cs="Times New Roman"/>
          <w:b/>
          <w:color w:val="auto"/>
          <w:sz w:val="28"/>
          <w:highlight w:val="none"/>
        </w:rPr>
        <w:t xml:space="preserve">2 </w:t>
      </w:r>
      <w:bookmarkEnd w:id="24"/>
      <w:bookmarkEnd w:id="25"/>
      <w:r>
        <w:rPr>
          <w:rFonts w:hint="eastAsia" w:cs="Times New Roman"/>
          <w:b/>
          <w:color w:val="auto"/>
          <w:sz w:val="28"/>
          <w:highlight w:val="none"/>
          <w:lang w:eastAsia="zh-CN"/>
        </w:rPr>
        <w:t>污染识别结论</w:t>
      </w:r>
      <w:bookmarkEnd w:id="26"/>
    </w:p>
    <w:p>
      <w:pPr>
        <w:bidi w:val="0"/>
        <w:rPr>
          <w:rFonts w:hint="default"/>
          <w:highlight w:val="yellow"/>
        </w:rPr>
      </w:pPr>
      <w:bookmarkStart w:id="27" w:name="_Toc21463"/>
      <w:bookmarkStart w:id="28" w:name="_Toc18075"/>
      <w:bookmarkStart w:id="29" w:name="_Toc7804"/>
      <w:bookmarkStart w:id="30" w:name="_Toc30638"/>
      <w:bookmarkStart w:id="31" w:name="_Toc1501"/>
      <w:bookmarkStart w:id="32" w:name="_Toc32447"/>
      <w:bookmarkStart w:id="33" w:name="_Toc11834"/>
      <w:bookmarkStart w:id="34" w:name="_Toc4266"/>
      <w:bookmarkStart w:id="35" w:name="_Toc12793"/>
      <w:bookmarkStart w:id="36" w:name="_Toc11635"/>
      <w:bookmarkStart w:id="37" w:name="_Toc24980"/>
      <w:r>
        <w:rPr>
          <w:rFonts w:hint="default" w:ascii="Times New Roman" w:hAnsi="Times New Roman" w:cs="Times New Roman"/>
          <w:color w:val="auto"/>
          <w:highlight w:val="none"/>
          <w:lang w:eastAsia="zh-CN"/>
        </w:rPr>
        <w:t>通过现场踏勘、调查访问，收集场地现状和历史资料及相关文献，分析原沧州造纸厂白水污染</w:t>
      </w:r>
      <w:r>
        <w:rPr>
          <w:rFonts w:hint="default" w:ascii="Times New Roman" w:hAnsi="Times New Roman" w:cs="Times New Roman"/>
          <w:b w:val="0"/>
          <w:bCs w:val="0"/>
          <w:color w:val="auto"/>
          <w:sz w:val="24"/>
          <w:szCs w:val="24"/>
          <w:highlight w:val="none"/>
          <w:lang w:val="en-US" w:eastAsia="zh-CN"/>
        </w:rPr>
        <w:t>潜在污染因子为</w:t>
      </w:r>
      <w:r>
        <w:rPr>
          <w:rFonts w:hint="default" w:ascii="Times New Roman" w:hAnsi="Times New Roman" w:cs="Times New Roman" w:eastAsiaTheme="minorEastAsia"/>
          <w:b w:val="0"/>
          <w:bCs w:val="0"/>
          <w:color w:val="auto"/>
          <w:sz w:val="24"/>
          <w:szCs w:val="24"/>
          <w:highlight w:val="none"/>
          <w:lang w:val="en-US" w:eastAsia="zh-CN"/>
        </w:rPr>
        <w:t>pH、</w:t>
      </w:r>
      <w:r>
        <w:rPr>
          <w:rFonts w:hint="default" w:ascii="Times New Roman" w:hAnsi="Times New Roman" w:cs="Times New Roman"/>
          <w:b w:val="0"/>
          <w:bCs w:val="0"/>
          <w:lang w:val="en-US" w:eastAsia="zh-CN"/>
        </w:rPr>
        <w:t>酞酸酯类、</w:t>
      </w:r>
      <w:r>
        <w:rPr>
          <w:rFonts w:hint="default" w:ascii="Times New Roman" w:hAnsi="Times New Roman" w:cs="Times New Roman" w:eastAsiaTheme="minorEastAsia"/>
          <w:b w:val="0"/>
          <w:bCs w:val="0"/>
          <w:color w:val="auto"/>
          <w:sz w:val="24"/>
          <w:szCs w:val="24"/>
          <w:highlight w:val="none"/>
          <w:lang w:val="en-US" w:eastAsia="zh-CN"/>
        </w:rPr>
        <w:t>氯代烃类、氯代酚类，泵房、地磅潜在污染因子为石油烃；原佟家花园牛奶厂</w:t>
      </w:r>
      <w:r>
        <w:rPr>
          <w:rFonts w:hint="default" w:ascii="Times New Roman" w:hAnsi="Times New Roman" w:cs="Times New Roman"/>
          <w:b w:val="0"/>
          <w:bCs w:val="0"/>
          <w:color w:val="auto"/>
          <w:sz w:val="24"/>
          <w:szCs w:val="24"/>
          <w:highlight w:val="none"/>
          <w:lang w:val="en-US" w:eastAsia="zh-CN"/>
        </w:rPr>
        <w:t>潜在污染因子为氨氮；</w:t>
      </w:r>
      <w:r>
        <w:rPr>
          <w:rFonts w:hint="default" w:ascii="Times New Roman" w:hAnsi="Times New Roman" w:eastAsia="宋体" w:cs="Times New Roman"/>
          <w:b w:val="0"/>
          <w:bCs w:val="0"/>
          <w:color w:val="auto"/>
          <w:lang w:val="en-US" w:eastAsia="zh-CN"/>
        </w:rPr>
        <w:t>周边企业中原沧州造纸厂可能存在的潜在污染因子为</w:t>
      </w:r>
      <w:r>
        <w:rPr>
          <w:rFonts w:hint="default" w:ascii="Times New Roman" w:hAnsi="Times New Roman" w:cs="Times New Roman" w:eastAsiaTheme="minorEastAsia"/>
          <w:b w:val="0"/>
          <w:bCs w:val="0"/>
          <w:color w:val="auto"/>
          <w:sz w:val="24"/>
          <w:szCs w:val="24"/>
          <w:highlight w:val="none"/>
          <w:lang w:val="en-US" w:eastAsia="zh-CN"/>
        </w:rPr>
        <w:t>pH、</w:t>
      </w:r>
      <w:r>
        <w:rPr>
          <w:rFonts w:hint="default" w:ascii="Times New Roman" w:hAnsi="Times New Roman" w:cs="Times New Roman"/>
          <w:b w:val="0"/>
          <w:bCs w:val="0"/>
          <w:color w:val="auto"/>
          <w:sz w:val="24"/>
          <w:szCs w:val="24"/>
          <w:highlight w:val="none"/>
          <w:lang w:val="en-US" w:eastAsia="zh-CN"/>
        </w:rPr>
        <w:t>氨氮</w:t>
      </w:r>
      <w:r>
        <w:rPr>
          <w:rFonts w:hint="eastAsia"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酚类化合物、酞酸酯类、氯代烃类、氯代酚类</w:t>
      </w:r>
      <w:r>
        <w:rPr>
          <w:rFonts w:hint="default" w:ascii="Times New Roman" w:hAnsi="Times New Roman" w:eastAsia="宋体" w:cs="Times New Roman"/>
          <w:b w:val="0"/>
          <w:bCs w:val="0"/>
          <w:color w:val="auto"/>
          <w:lang w:val="en-US" w:eastAsia="zh-CN"/>
        </w:rPr>
        <w:t>；原沧州市化工实业集团有限公司可能存在的潜在污染因子为pH、氯代烃、汞。</w:t>
      </w:r>
    </w:p>
    <w:p>
      <w:pPr>
        <w:bidi w:val="0"/>
        <w:rPr>
          <w:rFonts w:hint="eastAsia"/>
          <w:highlight w:val="none"/>
          <w:lang w:val="en-US" w:eastAsia="zh-CN"/>
        </w:rPr>
      </w:pPr>
      <w:r>
        <w:rPr>
          <w:rFonts w:hint="default"/>
          <w:highlight w:val="none"/>
        </w:rPr>
        <w:t>根据污染识别结果，认为本地块存在被污染的可能性。需进行第二阶段土壤污染状况调查工作，根据污染识别结果，进行土壤和地下水样品的采集、分析检测工作，明确地块是否已受到污染。</w:t>
      </w:r>
    </w:p>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38" w:name="_Toc6056"/>
      <w:bookmarkStart w:id="39" w:name="_Toc19932"/>
      <w:bookmarkStart w:id="40" w:name="_Toc19472"/>
      <w:bookmarkStart w:id="41" w:name="_Toc26955"/>
      <w:r>
        <w:rPr>
          <w:rFonts w:hint="default" w:ascii="Times New Roman" w:hAnsi="Times New Roman" w:cs="Times New Roman"/>
          <w:b/>
          <w:color w:val="auto"/>
          <w:sz w:val="28"/>
          <w:highlight w:val="none"/>
        </w:rPr>
        <w:t xml:space="preserve">3 </w:t>
      </w:r>
      <w:bookmarkEnd w:id="27"/>
      <w:bookmarkEnd w:id="28"/>
      <w:bookmarkEnd w:id="29"/>
      <w:bookmarkEnd w:id="30"/>
      <w:bookmarkEnd w:id="31"/>
      <w:bookmarkEnd w:id="32"/>
      <w:bookmarkEnd w:id="33"/>
      <w:bookmarkEnd w:id="34"/>
      <w:bookmarkEnd w:id="35"/>
      <w:bookmarkEnd w:id="36"/>
      <w:bookmarkEnd w:id="37"/>
      <w:bookmarkStart w:id="42" w:name="_Toc6926"/>
      <w:bookmarkStart w:id="43" w:name="_Toc426468293"/>
      <w:bookmarkStart w:id="44" w:name="_Toc23933"/>
      <w:r>
        <w:rPr>
          <w:rFonts w:hint="default" w:ascii="Times New Roman" w:hAnsi="Times New Roman" w:cs="Times New Roman"/>
          <w:b/>
          <w:color w:val="auto"/>
          <w:sz w:val="28"/>
          <w:highlight w:val="none"/>
        </w:rPr>
        <w:t>土壤</w:t>
      </w:r>
      <w:r>
        <w:rPr>
          <w:rFonts w:hint="eastAsia" w:cs="Times New Roman"/>
          <w:b/>
          <w:color w:val="auto"/>
          <w:sz w:val="28"/>
          <w:highlight w:val="none"/>
          <w:lang w:eastAsia="zh-CN"/>
        </w:rPr>
        <w:t>初步采样</w:t>
      </w:r>
      <w:r>
        <w:rPr>
          <w:rFonts w:hint="default" w:ascii="Times New Roman" w:hAnsi="Times New Roman" w:cs="Times New Roman"/>
          <w:b/>
          <w:color w:val="auto"/>
          <w:sz w:val="28"/>
          <w:highlight w:val="none"/>
        </w:rPr>
        <w:t>分析</w:t>
      </w:r>
      <w:bookmarkEnd w:id="38"/>
      <w:bookmarkEnd w:id="39"/>
      <w:bookmarkEnd w:id="40"/>
      <w:r>
        <w:rPr>
          <w:rFonts w:hint="eastAsia" w:cs="Times New Roman"/>
          <w:b/>
          <w:color w:val="auto"/>
          <w:sz w:val="28"/>
          <w:highlight w:val="none"/>
          <w:lang w:eastAsia="zh-CN"/>
        </w:rPr>
        <w:t>结论</w:t>
      </w:r>
      <w:bookmarkEnd w:id="41"/>
    </w:p>
    <w:p>
      <w:pPr>
        <w:bidi w:val="0"/>
        <w:rPr>
          <w:rFonts w:hint="eastAsia" w:cs="Times New Roman"/>
          <w:color w:val="auto"/>
          <w:highlight w:val="none"/>
          <w:lang w:eastAsia="zh-CN"/>
        </w:rPr>
      </w:pPr>
      <w:bookmarkStart w:id="45" w:name="_Toc1900"/>
      <w:bookmarkStart w:id="46" w:name="_Toc24903"/>
      <w:bookmarkStart w:id="47" w:name="_Toc2089"/>
      <w:bookmarkStart w:id="48" w:name="_Toc17123"/>
      <w:bookmarkStart w:id="49" w:name="_Toc22668"/>
      <w:bookmarkStart w:id="50" w:name="_Toc11649"/>
      <w:bookmarkStart w:id="51" w:name="_Toc22591"/>
      <w:bookmarkStart w:id="52" w:name="_Toc24047"/>
      <w:bookmarkStart w:id="53" w:name="_Toc20384"/>
      <w:bookmarkStart w:id="54" w:name="_Toc19815"/>
      <w:r>
        <w:rPr>
          <w:rFonts w:hint="eastAsia" w:cs="Times New Roman"/>
          <w:color w:val="auto"/>
          <w:highlight w:val="none"/>
          <w:lang w:eastAsia="zh-CN"/>
        </w:rPr>
        <w:t>我单位分别于</w:t>
      </w:r>
      <w:r>
        <w:rPr>
          <w:rFonts w:hint="default" w:ascii="Times New Roman" w:hAnsi="Times New Roman" w:cs="Times New Roman"/>
          <w:highlight w:val="none"/>
        </w:rPr>
        <w:t>2021年</w:t>
      </w:r>
      <w:r>
        <w:rPr>
          <w:rFonts w:hint="eastAsia" w:cs="Times New Roman"/>
          <w:highlight w:val="none"/>
          <w:lang w:val="en-US" w:eastAsia="zh-CN"/>
        </w:rPr>
        <w:t>6</w:t>
      </w:r>
      <w:r>
        <w:rPr>
          <w:rFonts w:hint="default" w:ascii="Times New Roman" w:hAnsi="Times New Roman" w:cs="Times New Roman"/>
          <w:highlight w:val="none"/>
        </w:rPr>
        <w:t>月</w:t>
      </w:r>
      <w:r>
        <w:rPr>
          <w:rFonts w:hint="eastAsia" w:cs="Times New Roman"/>
          <w:highlight w:val="none"/>
          <w:lang w:val="en-US" w:eastAsia="zh-CN"/>
        </w:rPr>
        <w:t>6</w:t>
      </w:r>
      <w:r>
        <w:rPr>
          <w:rFonts w:hint="default" w:ascii="Times New Roman" w:hAnsi="Times New Roman" w:cs="Times New Roman"/>
          <w:highlight w:val="none"/>
        </w:rPr>
        <w:t>日</w:t>
      </w:r>
      <w:r>
        <w:rPr>
          <w:rFonts w:hint="eastAsia" w:cs="Times New Roman"/>
          <w:highlight w:val="none"/>
          <w:lang w:eastAsia="zh-CN"/>
        </w:rPr>
        <w:t>、</w:t>
      </w:r>
      <w:r>
        <w:rPr>
          <w:rFonts w:hint="eastAsia" w:cs="Times New Roman"/>
          <w:highlight w:val="none"/>
          <w:lang w:val="en-US" w:eastAsia="zh-CN"/>
        </w:rPr>
        <w:t>2021年6月9日</w:t>
      </w:r>
      <w:r>
        <w:rPr>
          <w:rFonts w:hint="default" w:ascii="Times New Roman" w:hAnsi="Times New Roman" w:cs="Times New Roman"/>
          <w:highlight w:val="none"/>
        </w:rPr>
        <w:t>-</w:t>
      </w:r>
      <w:r>
        <w:rPr>
          <w:rFonts w:hint="eastAsia" w:cs="Times New Roman"/>
          <w:highlight w:val="none"/>
          <w:lang w:val="en-US" w:eastAsia="zh-CN"/>
        </w:rPr>
        <w:t>6</w:t>
      </w:r>
      <w:r>
        <w:rPr>
          <w:rFonts w:hint="default" w:ascii="Times New Roman" w:hAnsi="Times New Roman" w:cs="Times New Roman"/>
          <w:highlight w:val="none"/>
        </w:rPr>
        <w:t>月</w:t>
      </w:r>
      <w:r>
        <w:rPr>
          <w:rFonts w:hint="eastAsia" w:cs="Times New Roman"/>
          <w:highlight w:val="none"/>
          <w:lang w:val="en-US" w:eastAsia="zh-CN"/>
        </w:rPr>
        <w:t>10</w:t>
      </w:r>
      <w:r>
        <w:rPr>
          <w:rFonts w:hint="default" w:ascii="Times New Roman" w:hAnsi="Times New Roman" w:cs="Times New Roman"/>
          <w:highlight w:val="none"/>
        </w:rPr>
        <w:t>日</w:t>
      </w:r>
      <w:r>
        <w:rPr>
          <w:rFonts w:hint="eastAsia" w:cs="Times New Roman"/>
          <w:highlight w:val="none"/>
          <w:lang w:eastAsia="zh-CN"/>
        </w:rPr>
        <w:t>、</w:t>
      </w:r>
      <w:r>
        <w:rPr>
          <w:rFonts w:hint="default" w:ascii="Times New Roman" w:hAnsi="Times New Roman" w:cs="Times New Roman"/>
          <w:highlight w:val="none"/>
        </w:rPr>
        <w:t>2021年</w:t>
      </w:r>
      <w:r>
        <w:rPr>
          <w:rFonts w:hint="eastAsia" w:cs="Times New Roman"/>
          <w:highlight w:val="none"/>
          <w:lang w:val="en-US" w:eastAsia="zh-CN"/>
        </w:rPr>
        <w:t>8</w:t>
      </w:r>
      <w:r>
        <w:rPr>
          <w:rFonts w:hint="default" w:ascii="Times New Roman" w:hAnsi="Times New Roman" w:cs="Times New Roman"/>
          <w:highlight w:val="none"/>
        </w:rPr>
        <w:t>月</w:t>
      </w:r>
      <w:r>
        <w:rPr>
          <w:rFonts w:hint="eastAsia" w:cs="Times New Roman"/>
          <w:highlight w:val="none"/>
          <w:lang w:val="en-US" w:eastAsia="zh-CN"/>
        </w:rPr>
        <w:t>4</w:t>
      </w:r>
      <w:r>
        <w:rPr>
          <w:rFonts w:hint="default" w:ascii="Times New Roman" w:hAnsi="Times New Roman" w:cs="Times New Roman"/>
          <w:highlight w:val="none"/>
        </w:rPr>
        <w:t>日-8月</w:t>
      </w:r>
      <w:r>
        <w:rPr>
          <w:rFonts w:hint="eastAsia" w:cs="Times New Roman"/>
          <w:highlight w:val="none"/>
          <w:lang w:val="en-US" w:eastAsia="zh-CN"/>
        </w:rPr>
        <w:t>5</w:t>
      </w:r>
      <w:r>
        <w:rPr>
          <w:rFonts w:hint="default" w:ascii="Times New Roman" w:hAnsi="Times New Roman" w:cs="Times New Roman"/>
          <w:highlight w:val="none"/>
        </w:rPr>
        <w:t>日及202</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年</w:t>
      </w:r>
      <w:r>
        <w:rPr>
          <w:rFonts w:hint="default" w:ascii="Times New Roman" w:hAnsi="Times New Roman" w:cs="Times New Roman"/>
          <w:highlight w:val="none"/>
          <w:lang w:val="en-US" w:eastAsia="zh-CN"/>
        </w:rPr>
        <w:t>5</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13</w:t>
      </w:r>
      <w:r>
        <w:rPr>
          <w:rFonts w:hint="default" w:ascii="Times New Roman" w:hAnsi="Times New Roman" w:cs="Times New Roman"/>
          <w:highlight w:val="none"/>
        </w:rPr>
        <w:t>日</w:t>
      </w:r>
      <w:r>
        <w:rPr>
          <w:rFonts w:hint="eastAsia" w:ascii="Times New Roman" w:hAnsi="Times New Roman" w:cs="Times New Roman"/>
          <w:highlight w:val="none"/>
          <w:lang w:val="en-US" w:eastAsia="zh-CN"/>
        </w:rPr>
        <w:t>-</w:t>
      </w:r>
      <w:r>
        <w:rPr>
          <w:rFonts w:hint="default" w:ascii="Times New Roman" w:hAnsi="Times New Roman" w:cs="Times New Roman"/>
          <w:highlight w:val="none"/>
          <w:lang w:val="en-US" w:eastAsia="zh-CN"/>
        </w:rPr>
        <w:t>5</w:t>
      </w:r>
      <w:r>
        <w:rPr>
          <w:rFonts w:hint="default" w:ascii="Times New Roman" w:hAnsi="Times New Roman" w:cs="Times New Roman"/>
          <w:highlight w:val="none"/>
        </w:rPr>
        <w:t>月</w:t>
      </w:r>
      <w:r>
        <w:rPr>
          <w:rFonts w:hint="eastAsia" w:ascii="Times New Roman" w:hAnsi="Times New Roman" w:cs="Times New Roman"/>
          <w:highlight w:val="none"/>
          <w:lang w:val="en-US" w:eastAsia="zh-CN"/>
        </w:rPr>
        <w:t>14</w:t>
      </w:r>
      <w:r>
        <w:rPr>
          <w:rFonts w:hint="default" w:ascii="Times New Roman" w:hAnsi="Times New Roman" w:cs="Times New Roman"/>
          <w:highlight w:val="none"/>
        </w:rPr>
        <w:t>日</w:t>
      </w:r>
      <w:r>
        <w:rPr>
          <w:rFonts w:hint="default" w:ascii="Times New Roman" w:hAnsi="Times New Roman" w:cs="Times New Roman"/>
          <w:color w:val="auto"/>
          <w:highlight w:val="none"/>
        </w:rPr>
        <w:t>，开展了本项目的</w:t>
      </w:r>
      <w:r>
        <w:rPr>
          <w:rFonts w:hint="eastAsia" w:cs="Times New Roman"/>
          <w:color w:val="auto"/>
          <w:highlight w:val="none"/>
          <w:lang w:eastAsia="zh-CN"/>
        </w:rPr>
        <w:t>现场</w:t>
      </w:r>
      <w:r>
        <w:rPr>
          <w:rFonts w:hint="default" w:ascii="Times New Roman" w:hAnsi="Times New Roman" w:cs="Times New Roman"/>
          <w:color w:val="auto"/>
          <w:highlight w:val="none"/>
        </w:rPr>
        <w:t>钻探采样工作</w:t>
      </w:r>
      <w:r>
        <w:rPr>
          <w:rFonts w:hint="eastAsia" w:ascii="Times New Roman" w:hAnsi="Times New Roman" w:cs="Times New Roman"/>
          <w:color w:val="auto"/>
          <w:highlight w:val="none"/>
          <w:lang w:eastAsia="zh-CN"/>
        </w:rPr>
        <w:t>，采用</w:t>
      </w:r>
      <w:r>
        <w:rPr>
          <w:rFonts w:hint="default" w:ascii="Times New Roman" w:hAnsi="Times New Roman" w:cs="Times New Roman"/>
          <w:color w:val="auto"/>
          <w:highlight w:val="none"/>
        </w:rPr>
        <w:t>分区布点+判断布点法</w:t>
      </w:r>
      <w:r>
        <w:rPr>
          <w:rFonts w:hint="default" w:ascii="Times New Roman" w:hAnsi="Times New Roman" w:cs="Times New Roman"/>
          <w:highlight w:val="none"/>
        </w:rPr>
        <w:t>共布设</w:t>
      </w:r>
      <w:r>
        <w:rPr>
          <w:rFonts w:hint="eastAsia" w:cs="Times New Roman"/>
          <w:highlight w:val="none"/>
          <w:lang w:val="en-US" w:eastAsia="zh-CN"/>
        </w:rPr>
        <w:t>16</w:t>
      </w:r>
      <w:r>
        <w:rPr>
          <w:rFonts w:hint="default" w:ascii="Times New Roman" w:hAnsi="Times New Roman" w:cs="Times New Roman"/>
          <w:highlight w:val="none"/>
        </w:rPr>
        <w:t>个土壤采样点位，共采集土壤样品</w:t>
      </w:r>
      <w:r>
        <w:rPr>
          <w:rFonts w:hint="eastAsia" w:cs="Times New Roman"/>
          <w:highlight w:val="none"/>
          <w:lang w:val="en-US" w:eastAsia="zh-CN"/>
        </w:rPr>
        <w:t>67</w:t>
      </w:r>
      <w:r>
        <w:rPr>
          <w:rFonts w:hint="default" w:ascii="Times New Roman" w:hAnsi="Times New Roman" w:cs="Times New Roman"/>
          <w:highlight w:val="none"/>
        </w:rPr>
        <w:t>组，另含</w:t>
      </w:r>
      <w:r>
        <w:rPr>
          <w:rFonts w:hint="eastAsia" w:cs="Times New Roman"/>
          <w:highlight w:val="none"/>
          <w:lang w:val="en-US" w:eastAsia="zh-CN"/>
        </w:rPr>
        <w:t>8</w:t>
      </w:r>
      <w:r>
        <w:rPr>
          <w:rFonts w:hint="default" w:ascii="Times New Roman" w:hAnsi="Times New Roman" w:cs="Times New Roman"/>
          <w:highlight w:val="none"/>
        </w:rPr>
        <w:t>组现场平行样，全部测试分析了pH、45项基本因子，部分点位补充监测了VOCs全项（HJ605-2011中所列全部因子）、SVOCs全项（HJ834-2017中</w:t>
      </w:r>
      <w:r>
        <w:rPr>
          <w:rFonts w:hint="default" w:ascii="Times New Roman" w:hAnsi="Times New Roman" w:cs="Times New Roman"/>
          <w:b w:val="0"/>
          <w:bCs w:val="0"/>
          <w:highlight w:val="none"/>
          <w:lang w:val="en-US" w:eastAsia="zh-CN"/>
        </w:rPr>
        <w:t>酞酸酯类、</w:t>
      </w:r>
      <w:r>
        <w:rPr>
          <w:rFonts w:hint="default" w:ascii="Times New Roman" w:hAnsi="Times New Roman" w:cs="Times New Roman" w:eastAsiaTheme="minorEastAsia"/>
          <w:b w:val="0"/>
          <w:bCs w:val="0"/>
          <w:color w:val="auto"/>
          <w:sz w:val="24"/>
          <w:szCs w:val="24"/>
          <w:highlight w:val="none"/>
          <w:lang w:val="en-US" w:eastAsia="zh-CN"/>
        </w:rPr>
        <w:t>氯代烃类、氯代酚类</w:t>
      </w:r>
      <w:r>
        <w:rPr>
          <w:rFonts w:hint="default" w:ascii="Times New Roman" w:hAnsi="Times New Roman" w:cs="Times New Roman"/>
          <w:highlight w:val="none"/>
        </w:rPr>
        <w:t>）、</w:t>
      </w:r>
      <w:r>
        <w:rPr>
          <w:rFonts w:hint="default" w:ascii="Times New Roman" w:hAnsi="Times New Roman" w:cs="Times New Roman"/>
          <w:highlight w:val="none"/>
          <w:lang w:eastAsia="zh-CN"/>
        </w:rPr>
        <w:t>氨氮、硫化物、</w:t>
      </w:r>
      <w:r>
        <w:rPr>
          <w:rFonts w:hint="default" w:ascii="Times New Roman" w:hAnsi="Times New Roman" w:cs="Times New Roman"/>
          <w:color w:val="000000"/>
          <w:kern w:val="0"/>
          <w:sz w:val="24"/>
          <w:szCs w:val="24"/>
          <w:highlight w:val="none"/>
        </w:rPr>
        <w:t>石油烃（C</w:t>
      </w:r>
      <w:r>
        <w:rPr>
          <w:rFonts w:hint="default" w:ascii="Times New Roman" w:hAnsi="Times New Roman" w:cs="Times New Roman"/>
          <w:color w:val="000000"/>
          <w:kern w:val="0"/>
          <w:sz w:val="24"/>
          <w:szCs w:val="24"/>
          <w:highlight w:val="none"/>
          <w:vertAlign w:val="subscript"/>
        </w:rPr>
        <w:t>10</w:t>
      </w:r>
      <w:r>
        <w:rPr>
          <w:rFonts w:hint="default" w:ascii="Times New Roman" w:hAnsi="Times New Roman" w:cs="Times New Roman"/>
          <w:color w:val="000000"/>
          <w:kern w:val="0"/>
          <w:sz w:val="24"/>
          <w:szCs w:val="24"/>
          <w:highlight w:val="none"/>
        </w:rPr>
        <w:t>-C</w:t>
      </w:r>
      <w:r>
        <w:rPr>
          <w:rFonts w:hint="default" w:ascii="Times New Roman" w:hAnsi="Times New Roman" w:cs="Times New Roman"/>
          <w:color w:val="000000"/>
          <w:kern w:val="0"/>
          <w:sz w:val="24"/>
          <w:szCs w:val="24"/>
          <w:highlight w:val="none"/>
          <w:vertAlign w:val="subscript"/>
        </w:rPr>
        <w:t>40</w:t>
      </w:r>
      <w:r>
        <w:rPr>
          <w:rFonts w:hint="default" w:ascii="Times New Roman" w:hAnsi="Times New Roman" w:cs="Times New Roman"/>
          <w:color w:val="000000"/>
          <w:kern w:val="0"/>
          <w:sz w:val="24"/>
          <w:szCs w:val="24"/>
          <w:highlight w:val="none"/>
        </w:rPr>
        <w:t>）</w:t>
      </w:r>
      <w:r>
        <w:rPr>
          <w:rFonts w:hint="eastAsia" w:cs="Times New Roman"/>
          <w:color w:val="000000"/>
          <w:kern w:val="0"/>
          <w:sz w:val="24"/>
          <w:szCs w:val="24"/>
          <w:highlight w:val="none"/>
          <w:lang w:eastAsia="zh-CN"/>
        </w:rPr>
        <w:t>，</w:t>
      </w:r>
      <w:r>
        <w:rPr>
          <w:rFonts w:hint="default" w:ascii="Times New Roman" w:hAnsi="Times New Roman" w:cs="Times New Roman"/>
          <w:color w:val="auto"/>
          <w:highlight w:val="none"/>
        </w:rPr>
        <w:t>采集的样品</w:t>
      </w:r>
      <w:r>
        <w:rPr>
          <w:rFonts w:hint="eastAsia" w:cs="Times New Roman"/>
          <w:color w:val="auto"/>
          <w:highlight w:val="none"/>
          <w:lang w:eastAsia="zh-CN"/>
        </w:rPr>
        <w:t>全部由</w:t>
      </w:r>
      <w:r>
        <w:rPr>
          <w:rFonts w:hint="eastAsia" w:ascii="Times New Roman" w:hAnsi="Times New Roman" w:cs="Times New Roman"/>
          <w:color w:val="auto"/>
          <w:highlight w:val="none"/>
          <w:lang w:eastAsia="zh-CN"/>
        </w:rPr>
        <w:t>河北百润环境检测技术有限公司</w:t>
      </w:r>
      <w:r>
        <w:rPr>
          <w:rFonts w:hint="default" w:ascii="Times New Roman" w:hAnsi="Times New Roman" w:cs="Times New Roman"/>
          <w:color w:val="auto"/>
          <w:highlight w:val="none"/>
        </w:rPr>
        <w:t>进行化验分析</w:t>
      </w:r>
      <w:r>
        <w:rPr>
          <w:rFonts w:hint="eastAsia" w:cs="Times New Roman"/>
          <w:color w:val="auto"/>
          <w:highlight w:val="none"/>
          <w:lang w:eastAsia="zh-CN"/>
        </w:rPr>
        <w:t>。</w:t>
      </w:r>
    </w:p>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本项目地块各测试因子的监测结果和分析如下：</w:t>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①测定的重金属除六价铬外其他因子（砷、镉、铜、铅、汞、镍）全部有检出，但各因子检出浓度均未超过本次土壤污染状况调查所用的相应筛选值；F23-0.2</w:t>
      </w:r>
      <w:r>
        <w:rPr>
          <w:rFonts w:hint="eastAsia" w:cs="Times New Roman"/>
          <w:color w:val="auto"/>
          <w:sz w:val="24"/>
          <w:szCs w:val="24"/>
          <w:highlight w:val="none"/>
          <w:lang w:val="en-US" w:eastAsia="zh-CN"/>
        </w:rPr>
        <w:t>m（</w:t>
      </w:r>
      <w:r>
        <w:rPr>
          <w:rFonts w:hint="default" w:ascii="Times New Roman" w:hAnsi="Times New Roman" w:eastAsia="宋体" w:cs="Times New Roman"/>
          <w:b w:val="0"/>
          <w:bCs w:val="0"/>
          <w:color w:val="auto"/>
          <w:sz w:val="24"/>
          <w:szCs w:val="24"/>
          <w:highlight w:val="none"/>
          <w:vertAlign w:val="baseline"/>
          <w:lang w:val="en-US" w:eastAsia="zh-CN"/>
        </w:rPr>
        <w:t>空地</w:t>
      </w:r>
      <w:r>
        <w:rPr>
          <w:rFonts w:hint="eastAsia" w:cs="Times New Roman"/>
          <w:color w:val="auto"/>
          <w:sz w:val="24"/>
          <w:szCs w:val="24"/>
          <w:highlight w:val="none"/>
          <w:lang w:val="en-US" w:eastAsia="zh-CN"/>
        </w:rPr>
        <w:t>）铜、铅、镍浓度较其他点位偏高，分析可能是地块拆除过程对表层土壤造成了一定的扰动。</w:t>
      </w:r>
    </w:p>
    <w:p>
      <w:pPr>
        <w:ind w:firstLine="48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②测定的VOCs</w:t>
      </w:r>
      <w:r>
        <w:rPr>
          <w:rFonts w:hint="default" w:ascii="Times New Roman" w:hAnsi="Times New Roman" w:cs="Times New Roman"/>
          <w:color w:val="auto"/>
          <w:sz w:val="24"/>
          <w:szCs w:val="24"/>
          <w:highlight w:val="none"/>
          <w:lang w:eastAsia="zh-CN"/>
        </w:rPr>
        <w:t>中仅</w:t>
      </w:r>
      <w:r>
        <w:rPr>
          <w:rFonts w:hint="default" w:ascii="Times New Roman" w:hAnsi="Times New Roman" w:eastAsia="宋体" w:cs="Times New Roman"/>
          <w:color w:val="auto"/>
          <w:sz w:val="24"/>
          <w:szCs w:val="24"/>
          <w:highlight w:val="none"/>
          <w:lang w:val="en-US" w:eastAsia="zh-CN"/>
        </w:rPr>
        <w:t>1,1-二氯乙烷有检出，除A74</w:t>
      </w:r>
      <w:r>
        <w:rPr>
          <w:rFonts w:hint="eastAsia" w:cs="Times New Roman"/>
          <w:color w:val="auto"/>
          <w:sz w:val="24"/>
          <w:szCs w:val="24"/>
          <w:highlight w:val="none"/>
          <w:lang w:val="en-US" w:eastAsia="zh-CN"/>
        </w:rPr>
        <w:t>（空地）</w:t>
      </w:r>
      <w:r>
        <w:rPr>
          <w:rFonts w:hint="default" w:ascii="Times New Roman" w:hAnsi="Times New Roman" w:eastAsia="宋体" w:cs="Times New Roman"/>
          <w:color w:val="auto"/>
          <w:sz w:val="24"/>
          <w:szCs w:val="24"/>
          <w:highlight w:val="none"/>
          <w:lang w:val="en-US" w:eastAsia="zh-CN"/>
        </w:rPr>
        <w:t>、F23</w:t>
      </w:r>
      <w:r>
        <w:rPr>
          <w:rFonts w:hint="eastAsia"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vertAlign w:val="baseline"/>
          <w:lang w:val="en-US" w:eastAsia="zh-CN"/>
        </w:rPr>
        <w:t>空地</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外均未检出，最大占标率0.54%，检出结果远小于</w:t>
      </w:r>
      <w:r>
        <w:rPr>
          <w:rFonts w:hint="default" w:ascii="Times New Roman" w:hAnsi="Times New Roman" w:cs="Times New Roman"/>
          <w:color w:val="auto"/>
          <w:sz w:val="24"/>
          <w:szCs w:val="24"/>
          <w:highlight w:val="none"/>
        </w:rPr>
        <w:t>本次土壤污染调查所选用的筛选值</w:t>
      </w:r>
      <w:r>
        <w:rPr>
          <w:rFonts w:hint="default" w:ascii="Times New Roman" w:hAnsi="Times New Roman" w:cs="Times New Roman"/>
          <w:color w:val="auto"/>
          <w:sz w:val="24"/>
          <w:szCs w:val="24"/>
          <w:highlight w:val="none"/>
          <w:lang w:eastAsia="zh-CN"/>
        </w:rPr>
        <w:t>；</w:t>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③测定的SVOCs中</w:t>
      </w:r>
      <w:r>
        <w:rPr>
          <w:rFonts w:hint="default" w:ascii="Times New Roman" w:hAnsi="Times New Roman" w:eastAsia="宋体" w:cs="Times New Roman"/>
          <w:color w:val="auto"/>
          <w:sz w:val="24"/>
          <w:szCs w:val="24"/>
          <w:highlight w:val="none"/>
          <w:lang w:val="en-US" w:eastAsia="zh-CN"/>
        </w:rPr>
        <w:t>邻苯二甲酸二正辛酯和酚类有检出，其中邻苯二甲酸二正辛酯仅在A33-4.4m（白水回收池）有检出，占标率0.18%，检出浓度远小于</w:t>
      </w:r>
      <w:r>
        <w:rPr>
          <w:rFonts w:hint="default" w:ascii="Times New Roman" w:hAnsi="Times New Roman" w:cs="Times New Roman"/>
          <w:color w:val="auto"/>
          <w:sz w:val="24"/>
          <w:szCs w:val="24"/>
          <w:highlight w:val="none"/>
        </w:rPr>
        <w:t>本次土壤污染调查所选用的筛选值</w:t>
      </w:r>
      <w:r>
        <w:rPr>
          <w:rFonts w:hint="default" w:ascii="Times New Roman" w:hAnsi="Times New Roman" w:cs="Times New Roman"/>
          <w:color w:val="auto"/>
          <w:sz w:val="24"/>
          <w:szCs w:val="24"/>
          <w:highlight w:val="none"/>
          <w:lang w:eastAsia="zh-CN"/>
        </w:rPr>
        <w:t>；其余检出因子主要为酚类，检出点位集中在</w:t>
      </w:r>
      <w:r>
        <w:rPr>
          <w:rFonts w:hint="default" w:ascii="Times New Roman" w:hAnsi="Times New Roman" w:cs="Times New Roman"/>
          <w:color w:val="auto"/>
          <w:sz w:val="24"/>
          <w:szCs w:val="24"/>
          <w:highlight w:val="none"/>
          <w:lang w:val="en-US" w:eastAsia="zh-CN"/>
        </w:rPr>
        <w:t>A31</w:t>
      </w:r>
      <w:r>
        <w:rPr>
          <w:rFonts w:hint="eastAsia"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vertAlign w:val="baseline"/>
          <w:lang w:val="en-US" w:eastAsia="zh-CN"/>
        </w:rPr>
        <w:t>消石灰</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、A32</w:t>
      </w:r>
      <w:r>
        <w:rPr>
          <w:rFonts w:hint="eastAsia"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vertAlign w:val="baseline"/>
          <w:lang w:val="en-US" w:eastAsia="zh-CN"/>
        </w:rPr>
        <w:t>白水回收池</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、A33</w:t>
      </w:r>
      <w:r>
        <w:rPr>
          <w:rFonts w:hint="eastAsia"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vertAlign w:val="baseline"/>
          <w:lang w:val="en-US" w:eastAsia="zh-CN"/>
        </w:rPr>
        <w:t>白水回收池</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，占标率0.005%-10.65%，分析认为可能与白水跑冒滴漏有关</w:t>
      </w:r>
      <w:r>
        <w:rPr>
          <w:rFonts w:hint="default" w:ascii="Times New Roman" w:hAnsi="Times New Roman" w:eastAsia="宋体" w:cs="Times New Roman"/>
          <w:color w:val="auto"/>
          <w:sz w:val="24"/>
          <w:szCs w:val="24"/>
          <w:highlight w:val="none"/>
          <w:lang w:val="en-US" w:eastAsia="zh-CN"/>
        </w:rPr>
        <w:t>；</w:t>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④测定的</w:t>
      </w:r>
      <w:r>
        <w:rPr>
          <w:rFonts w:hint="default" w:ascii="Times New Roman" w:hAnsi="Times New Roman" w:cs="Times New Roman"/>
          <w:color w:val="auto"/>
          <w:sz w:val="24"/>
          <w:szCs w:val="24"/>
          <w:highlight w:val="none"/>
          <w:lang w:eastAsia="zh-CN"/>
        </w:rPr>
        <w:t>石油烃检出率</w:t>
      </w:r>
      <w:r>
        <w:rPr>
          <w:rFonts w:hint="default" w:ascii="Times New Roman" w:hAnsi="Times New Roman" w:cs="Times New Roman"/>
          <w:color w:val="auto"/>
          <w:sz w:val="24"/>
          <w:szCs w:val="24"/>
          <w:highlight w:val="none"/>
          <w:lang w:val="en-US" w:eastAsia="zh-CN"/>
        </w:rPr>
        <w:t>75%，</w:t>
      </w:r>
      <w:r>
        <w:rPr>
          <w:rFonts w:hint="default" w:ascii="Times New Roman" w:hAnsi="Times New Roman" w:cs="Times New Roman"/>
          <w:color w:val="auto"/>
          <w:sz w:val="24"/>
          <w:szCs w:val="24"/>
          <w:highlight w:val="none"/>
        </w:rPr>
        <w:t>最大检出浓度为</w:t>
      </w:r>
      <w:r>
        <w:rPr>
          <w:rFonts w:hint="default" w:ascii="Times New Roman" w:hAnsi="Times New Roman" w:cs="Times New Roman"/>
          <w:color w:val="auto"/>
          <w:sz w:val="24"/>
          <w:szCs w:val="24"/>
          <w:highlight w:val="none"/>
          <w:lang w:val="en-US" w:eastAsia="zh-CN"/>
        </w:rPr>
        <w:t>54</w:t>
      </w:r>
      <w:r>
        <w:rPr>
          <w:rFonts w:hint="default" w:ascii="Times New Roman" w:hAnsi="Times New Roman" w:cs="Times New Roman"/>
          <w:color w:val="auto"/>
          <w:sz w:val="24"/>
          <w:szCs w:val="24"/>
          <w:highlight w:val="none"/>
        </w:rPr>
        <w:t>mg/kg，最大占标率6.54%，远小于本次土壤污染状况调查所用的筛选值（</w:t>
      </w:r>
      <w:r>
        <w:rPr>
          <w:rFonts w:hint="default" w:ascii="Times New Roman" w:hAnsi="Times New Roman" w:cs="Times New Roman"/>
          <w:color w:val="auto"/>
          <w:sz w:val="24"/>
          <w:szCs w:val="24"/>
          <w:highlight w:val="none"/>
          <w:lang w:val="en-US" w:eastAsia="zh-CN"/>
        </w:rPr>
        <w:t>826</w:t>
      </w:r>
      <w:r>
        <w:rPr>
          <w:rFonts w:hint="default" w:ascii="Times New Roman" w:hAnsi="Times New Roman" w:cs="Times New Roman"/>
          <w:color w:val="auto"/>
          <w:sz w:val="24"/>
          <w:szCs w:val="24"/>
          <w:highlight w:val="none"/>
        </w:rPr>
        <w:t>mg/kg）</w:t>
      </w:r>
      <w:r>
        <w:rPr>
          <w:rFonts w:hint="default"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分析认为与泵房、地磅内设备机油泄漏或雨水淋溶有关</w:t>
      </w:r>
      <w:r>
        <w:rPr>
          <w:rFonts w:hint="default" w:ascii="Times New Roman" w:hAnsi="Times New Roman" w:cs="Times New Roman"/>
          <w:color w:val="auto"/>
          <w:sz w:val="24"/>
          <w:szCs w:val="24"/>
          <w:highlight w:val="none"/>
        </w:rPr>
        <w:t>；</w:t>
      </w:r>
    </w:p>
    <w:p>
      <w:pPr>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⑤</w:t>
      </w:r>
      <w:r>
        <w:rPr>
          <w:rFonts w:hint="default" w:ascii="Times New Roman" w:hAnsi="Times New Roman" w:cs="Times New Roman"/>
          <w:color w:val="auto"/>
          <w:sz w:val="24"/>
          <w:szCs w:val="24"/>
          <w:highlight w:val="none"/>
          <w:lang w:eastAsia="zh-CN"/>
        </w:rPr>
        <w:t>测定的硫化物两个点位有检出</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rPr>
        <w:t>最大检出浓度为</w:t>
      </w:r>
      <w:r>
        <w:rPr>
          <w:rFonts w:hint="default" w:ascii="Times New Roman" w:hAnsi="Times New Roman" w:cs="Times New Roman"/>
          <w:color w:val="auto"/>
          <w:sz w:val="24"/>
          <w:szCs w:val="24"/>
          <w:highlight w:val="none"/>
          <w:lang w:val="en-US" w:eastAsia="zh-CN"/>
        </w:rPr>
        <w:t>154</w:t>
      </w:r>
      <w:r>
        <w:rPr>
          <w:rFonts w:hint="default" w:ascii="Times New Roman" w:hAnsi="Times New Roman" w:cs="Times New Roman"/>
          <w:color w:val="auto"/>
          <w:sz w:val="24"/>
          <w:szCs w:val="24"/>
          <w:highlight w:val="none"/>
        </w:rPr>
        <w:t>mg/kg，</w:t>
      </w:r>
      <w:r>
        <w:rPr>
          <w:rFonts w:hint="default" w:ascii="Times New Roman" w:hAnsi="Times New Roman" w:cs="Times New Roman"/>
          <w:color w:val="auto"/>
          <w:sz w:val="24"/>
          <w:szCs w:val="24"/>
          <w:highlight w:val="none"/>
          <w:lang w:eastAsia="zh-CN"/>
        </w:rPr>
        <w:t>位于</w:t>
      </w:r>
      <w:r>
        <w:rPr>
          <w:rFonts w:hint="default" w:ascii="Times New Roman" w:hAnsi="Times New Roman" w:eastAsia="宋体" w:cs="Times New Roman"/>
          <w:color w:val="auto"/>
          <w:sz w:val="24"/>
          <w:szCs w:val="24"/>
          <w:highlight w:val="none"/>
          <w:lang w:val="en-US" w:eastAsia="zh-CN"/>
        </w:rPr>
        <w:t>F12-3.5</w:t>
      </w:r>
      <w:r>
        <w:rPr>
          <w:rFonts w:hint="eastAsia" w:cs="Times New Roman"/>
          <w:color w:val="auto"/>
          <w:sz w:val="24"/>
          <w:szCs w:val="24"/>
          <w:highlight w:val="none"/>
          <w:lang w:val="en-US" w:eastAsia="zh-CN"/>
        </w:rPr>
        <w:t>m（办公）</w:t>
      </w:r>
      <w:r>
        <w:rPr>
          <w:rFonts w:hint="default" w:ascii="Times New Roman" w:hAnsi="Times New Roman" w:eastAsia="宋体" w:cs="Times New Roman"/>
          <w:color w:val="auto"/>
          <w:sz w:val="24"/>
          <w:szCs w:val="24"/>
          <w:highlight w:val="none"/>
          <w:lang w:val="en-US" w:eastAsia="zh-CN"/>
        </w:rPr>
        <w:t>；硫化物无相关评价标准，暂不进行评价。</w:t>
      </w:r>
      <w:r>
        <w:rPr>
          <w:rFonts w:hint="eastAsia" w:cs="Times New Roman"/>
          <w:color w:val="auto"/>
          <w:sz w:val="24"/>
          <w:szCs w:val="24"/>
          <w:highlight w:val="none"/>
          <w:lang w:val="en-US" w:eastAsia="zh-CN"/>
        </w:rPr>
        <w:t>分析可能是造纸厂早期白水向南漫灌污水渗入地下造成的。</w:t>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⑥测定氨氮的样品全部有检出，最大检出浓度为</w:t>
      </w:r>
      <w:r>
        <w:rPr>
          <w:rFonts w:hint="default" w:ascii="Times New Roman" w:hAnsi="Times New Roman" w:cs="Times New Roman"/>
          <w:color w:val="auto"/>
          <w:sz w:val="24"/>
          <w:szCs w:val="24"/>
          <w:highlight w:val="none"/>
          <w:lang w:val="en-US" w:eastAsia="zh-CN"/>
        </w:rPr>
        <w:t>40</w:t>
      </w:r>
      <w:r>
        <w:rPr>
          <w:rFonts w:hint="default" w:ascii="Times New Roman" w:hAnsi="Times New Roman" w:cs="Times New Roman"/>
          <w:color w:val="auto"/>
          <w:sz w:val="24"/>
          <w:szCs w:val="24"/>
          <w:highlight w:val="none"/>
        </w:rPr>
        <w:t>mg/kg，</w:t>
      </w:r>
      <w:r>
        <w:rPr>
          <w:rFonts w:hint="default" w:ascii="Times New Roman" w:hAnsi="Times New Roman" w:cs="Times New Roman"/>
          <w:color w:val="auto"/>
          <w:sz w:val="24"/>
          <w:szCs w:val="24"/>
          <w:highlight w:val="none"/>
          <w:lang w:eastAsia="zh-CN"/>
        </w:rPr>
        <w:t>位于E2-1.8</w:t>
      </w:r>
      <w:r>
        <w:rPr>
          <w:rFonts w:hint="eastAsia" w:cs="Times New Roman"/>
          <w:color w:val="auto"/>
          <w:sz w:val="24"/>
          <w:szCs w:val="24"/>
          <w:highlight w:val="none"/>
          <w:lang w:val="en-US" w:eastAsia="zh-CN"/>
        </w:rPr>
        <w:t>m（养牛场）</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远小于本次土壤污染状况调查所用的筛选值（960mg/kg）</w:t>
      </w:r>
      <w:r>
        <w:rPr>
          <w:rFonts w:hint="default" w:ascii="Times New Roman" w:hAnsi="Times New Roman" w:cs="Times New Roman"/>
          <w:color w:val="auto"/>
          <w:sz w:val="24"/>
          <w:szCs w:val="24"/>
          <w:highlight w:val="none"/>
          <w:lang w:eastAsia="zh-CN"/>
        </w:rPr>
        <w:t>，分析认为氨氮有检出可能与奶牛场粪便堆存雨水淋溶有关</w:t>
      </w:r>
      <w:r>
        <w:rPr>
          <w:rFonts w:hint="default" w:ascii="Times New Roman" w:hAnsi="Times New Roman" w:cs="Times New Roman"/>
          <w:color w:val="auto"/>
          <w:sz w:val="24"/>
          <w:szCs w:val="24"/>
          <w:highlight w:val="none"/>
        </w:rPr>
        <w:t>；</w:t>
      </w:r>
    </w:p>
    <w:p>
      <w:pPr>
        <w:bidi w:val="0"/>
        <w:rPr>
          <w:rFonts w:hint="eastAsia"/>
          <w:kern w:val="0"/>
        </w:rPr>
      </w:pPr>
      <w:r>
        <w:rPr>
          <w:rFonts w:hint="default" w:ascii="Times New Roman" w:hAnsi="Times New Roman" w:cs="Times New Roman"/>
          <w:color w:val="auto"/>
          <w:highlight w:val="none"/>
        </w:rPr>
        <w:t>⑦</w:t>
      </w:r>
      <w:r>
        <w:rPr>
          <w:rFonts w:hint="default" w:ascii="Times New Roman" w:hAnsi="Times New Roman" w:eastAsia="宋体" w:cs="Times New Roman"/>
          <w:color w:val="auto"/>
          <w:sz w:val="24"/>
          <w:szCs w:val="24"/>
          <w:highlight w:val="none"/>
          <w:lang w:eastAsia="zh-CN"/>
        </w:rPr>
        <w:t>根据</w:t>
      </w:r>
      <w:r>
        <w:rPr>
          <w:rFonts w:hint="default" w:ascii="Times New Roman" w:hAnsi="Times New Roman" w:eastAsia="宋体" w:cs="Times New Roman"/>
          <w:color w:val="auto"/>
          <w:sz w:val="24"/>
          <w:szCs w:val="24"/>
          <w:highlight w:val="none"/>
          <w:lang w:val="en-US" w:eastAsia="zh-CN"/>
        </w:rPr>
        <w:t>pH检测结果，</w:t>
      </w:r>
      <w:r>
        <w:rPr>
          <w:rFonts w:hint="eastAsia" w:cs="Times New Roman"/>
          <w:color w:val="auto"/>
          <w:sz w:val="24"/>
          <w:szCs w:val="24"/>
          <w:highlight w:val="none"/>
          <w:lang w:val="en-US" w:eastAsia="zh-CN"/>
        </w:rPr>
        <w:t>地块内pH测定范围为8.1-10.08（无量纲），说明</w:t>
      </w:r>
      <w:r>
        <w:rPr>
          <w:rFonts w:hint="default" w:ascii="Times New Roman" w:hAnsi="Times New Roman" w:eastAsia="宋体" w:cs="Times New Roman"/>
          <w:color w:val="auto"/>
          <w:sz w:val="24"/>
          <w:szCs w:val="24"/>
          <w:highlight w:val="none"/>
          <w:lang w:val="en-US" w:eastAsia="zh-CN"/>
        </w:rPr>
        <w:t>调查地块整体呈弱碱性。</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5" w:name="_Toc9258"/>
      <w:r>
        <w:rPr>
          <w:rFonts w:hint="eastAsia" w:cs="Times New Roman"/>
          <w:b/>
          <w:color w:val="auto"/>
          <w:sz w:val="28"/>
          <w:highlight w:val="none"/>
          <w:lang w:val="en-US" w:eastAsia="zh-CN"/>
        </w:rPr>
        <w:t>4</w:t>
      </w:r>
      <w:r>
        <w:rPr>
          <w:rFonts w:hint="default" w:ascii="Times New Roman" w:hAnsi="Times New Roman" w:cs="Times New Roman"/>
          <w:b/>
          <w:color w:val="auto"/>
          <w:sz w:val="28"/>
          <w:highlight w:val="none"/>
        </w:rPr>
        <w:t xml:space="preserve"> </w:t>
      </w:r>
      <w:r>
        <w:rPr>
          <w:rFonts w:hint="eastAsia" w:ascii="Times New Roman" w:hAnsi="Times New Roman" w:cs="Times New Roman"/>
          <w:b/>
          <w:color w:val="auto"/>
          <w:sz w:val="28"/>
          <w:highlight w:val="none"/>
          <w:lang w:eastAsia="zh-CN"/>
        </w:rPr>
        <w:t>地下水</w:t>
      </w:r>
      <w:r>
        <w:rPr>
          <w:rFonts w:hint="eastAsia" w:cs="Times New Roman"/>
          <w:b/>
          <w:color w:val="auto"/>
          <w:sz w:val="28"/>
          <w:highlight w:val="none"/>
          <w:lang w:eastAsia="zh-CN"/>
        </w:rPr>
        <w:t>初步采样分析结论</w:t>
      </w:r>
      <w:bookmarkEnd w:id="55"/>
    </w:p>
    <w:p>
      <w:pPr>
        <w:pStyle w:val="2"/>
        <w:rPr>
          <w:rFonts w:hint="eastAsia" w:cs="Times New Roman"/>
          <w:color w:val="auto"/>
          <w:highlight w:val="none"/>
          <w:lang w:val="en-US" w:eastAsia="zh-CN"/>
        </w:rPr>
      </w:pPr>
      <w:r>
        <w:rPr>
          <w:rFonts w:hint="eastAsia" w:ascii="Times New Roman" w:hAnsi="Times New Roman" w:eastAsia="宋体" w:cs="黑体"/>
          <w:color w:val="auto"/>
          <w:kern w:val="2"/>
          <w:sz w:val="24"/>
          <w:szCs w:val="24"/>
          <w:highlight w:val="none"/>
          <w:lang w:val="en-US" w:eastAsia="zh-CN" w:bidi="ar-SA"/>
        </w:rPr>
        <w:t>根据</w:t>
      </w:r>
      <w:r>
        <w:rPr>
          <w:rFonts w:hint="default" w:ascii="Times New Roman" w:hAnsi="Times New Roman" w:eastAsia="宋体" w:cs="Times New Roman"/>
          <w:color w:val="auto"/>
          <w:w w:val="100"/>
          <w:kern w:val="2"/>
          <w:sz w:val="24"/>
          <w:szCs w:val="24"/>
          <w:highlight w:val="none"/>
          <w:lang w:val="en-US" w:eastAsia="zh-CN" w:bidi="ar-SA"/>
        </w:rPr>
        <w:t>本次调查范围内地下水检测结果的统计分析，</w:t>
      </w:r>
      <w:r>
        <w:rPr>
          <w:rFonts w:hint="eastAsia" w:ascii="Times New Roman" w:hAnsi="Times New Roman" w:eastAsia="宋体" w:cs="Times New Roman"/>
          <w:color w:val="auto"/>
          <w:w w:val="100"/>
          <w:kern w:val="2"/>
          <w:sz w:val="24"/>
          <w:szCs w:val="24"/>
          <w:highlight w:val="none"/>
          <w:lang w:val="en-US" w:eastAsia="zh-CN" w:bidi="ar-SA"/>
        </w:rPr>
        <w:t>3</w:t>
      </w:r>
      <w:r>
        <w:rPr>
          <w:rFonts w:hint="default" w:ascii="Times New Roman" w:hAnsi="Times New Roman" w:eastAsia="宋体" w:cs="Times New Roman"/>
          <w:color w:val="auto"/>
          <w:w w:val="100"/>
          <w:kern w:val="2"/>
          <w:sz w:val="24"/>
          <w:szCs w:val="24"/>
          <w:highlight w:val="none"/>
          <w:lang w:val="en-US" w:eastAsia="zh-CN" w:bidi="ar-SA"/>
        </w:rPr>
        <w:t>口地下水中有检出的因子包括</w:t>
      </w:r>
      <w:r>
        <w:rPr>
          <w:rFonts w:hint="default" w:ascii="Times New Roman" w:hAnsi="Times New Roman" w:cs="Times New Roman"/>
          <w:color w:val="auto"/>
          <w:w w:val="100"/>
          <w:sz w:val="24"/>
          <w:szCs w:val="24"/>
          <w:highlight w:val="none"/>
        </w:rPr>
        <w:t>pH</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铝</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锰</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铁</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铜</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镍</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硒</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钠</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砷</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汞</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溶解性总固体</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氨氮</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硝酸盐（以N计）</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亚硝酸盐（以N计）</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耗氧量（COD</w:t>
      </w:r>
      <w:r>
        <w:rPr>
          <w:rFonts w:hint="default" w:ascii="Times New Roman" w:hAnsi="Times New Roman" w:cs="Times New Roman"/>
          <w:color w:val="auto"/>
          <w:w w:val="100"/>
          <w:sz w:val="24"/>
          <w:szCs w:val="24"/>
          <w:highlight w:val="none"/>
          <w:vertAlign w:val="subscript"/>
        </w:rPr>
        <w:t>Mn</w:t>
      </w:r>
      <w:r>
        <w:rPr>
          <w:rFonts w:hint="default" w:ascii="Times New Roman" w:hAnsi="Times New Roman" w:cs="Times New Roman"/>
          <w:color w:val="auto"/>
          <w:w w:val="100"/>
          <w:sz w:val="24"/>
          <w:szCs w:val="24"/>
          <w:highlight w:val="none"/>
        </w:rPr>
        <w:t>法以O</w:t>
      </w:r>
      <w:r>
        <w:rPr>
          <w:rFonts w:hint="default" w:ascii="Times New Roman" w:hAnsi="Times New Roman" w:cs="Times New Roman"/>
          <w:color w:val="auto"/>
          <w:w w:val="100"/>
          <w:sz w:val="24"/>
          <w:szCs w:val="24"/>
          <w:highlight w:val="none"/>
          <w:vertAlign w:val="subscript"/>
        </w:rPr>
        <w:t>2</w:t>
      </w:r>
      <w:r>
        <w:rPr>
          <w:rFonts w:hint="default" w:ascii="Times New Roman" w:hAnsi="Times New Roman" w:cs="Times New Roman"/>
          <w:color w:val="auto"/>
          <w:w w:val="100"/>
          <w:sz w:val="24"/>
          <w:szCs w:val="24"/>
          <w:highlight w:val="none"/>
        </w:rPr>
        <w:t>计）</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挥发酚</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氟化物</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阴离子表面活性剂</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总硬度</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硫酸盐</w:t>
      </w:r>
      <w:r>
        <w:rPr>
          <w:rFonts w:hint="default" w:ascii="Times New Roman" w:hAnsi="Times New Roman" w:cs="Times New Roman"/>
          <w:color w:val="auto"/>
          <w:w w:val="100"/>
          <w:sz w:val="24"/>
          <w:szCs w:val="24"/>
          <w:highlight w:val="none"/>
          <w:lang w:eastAsia="zh-CN"/>
        </w:rPr>
        <w:t>、</w:t>
      </w:r>
      <w:r>
        <w:rPr>
          <w:rFonts w:hint="default" w:ascii="Times New Roman" w:hAnsi="Times New Roman" w:cs="Times New Roman"/>
          <w:color w:val="auto"/>
          <w:w w:val="100"/>
          <w:sz w:val="24"/>
          <w:szCs w:val="24"/>
          <w:highlight w:val="none"/>
        </w:rPr>
        <w:t>氯化物</w:t>
      </w:r>
      <w:r>
        <w:rPr>
          <w:rFonts w:hint="default" w:ascii="Times New Roman" w:hAnsi="Times New Roman" w:cs="Times New Roman"/>
          <w:color w:val="auto"/>
          <w:w w:val="100"/>
          <w:sz w:val="24"/>
          <w:szCs w:val="24"/>
          <w:highlight w:val="none"/>
          <w:lang w:eastAsia="zh-CN"/>
        </w:rPr>
        <w:t>等</w:t>
      </w:r>
      <w:r>
        <w:rPr>
          <w:rFonts w:hint="default" w:ascii="Times New Roman" w:hAnsi="Times New Roman" w:cs="Times New Roman"/>
          <w:color w:val="auto"/>
          <w:w w:val="100"/>
          <w:sz w:val="24"/>
          <w:szCs w:val="24"/>
          <w:highlight w:val="none"/>
        </w:rPr>
        <w:t>共</w:t>
      </w:r>
      <w:r>
        <w:rPr>
          <w:rFonts w:hint="default" w:ascii="Times New Roman" w:hAnsi="Times New Roman" w:cs="Times New Roman"/>
          <w:color w:val="auto"/>
          <w:w w:val="100"/>
          <w:sz w:val="24"/>
          <w:szCs w:val="24"/>
          <w:highlight w:val="none"/>
          <w:lang w:eastAsia="zh-CN"/>
        </w:rPr>
        <w:t>计</w:t>
      </w:r>
      <w:r>
        <w:rPr>
          <w:rFonts w:hint="default" w:ascii="Times New Roman" w:hAnsi="Times New Roman" w:cs="Times New Roman"/>
          <w:color w:val="auto"/>
          <w:w w:val="100"/>
          <w:sz w:val="24"/>
          <w:szCs w:val="24"/>
          <w:highlight w:val="none"/>
        </w:rPr>
        <w:t>2</w:t>
      </w:r>
      <w:r>
        <w:rPr>
          <w:rFonts w:hint="default" w:ascii="Times New Roman" w:hAnsi="Times New Roman" w:cs="Times New Roman"/>
          <w:color w:val="auto"/>
          <w:w w:val="100"/>
          <w:sz w:val="24"/>
          <w:szCs w:val="24"/>
          <w:highlight w:val="none"/>
          <w:lang w:val="en-US" w:eastAsia="zh-CN"/>
        </w:rPr>
        <w:t>1</w:t>
      </w:r>
      <w:r>
        <w:rPr>
          <w:rFonts w:hint="default" w:ascii="Times New Roman" w:hAnsi="Times New Roman" w:cs="Times New Roman"/>
          <w:color w:val="auto"/>
          <w:w w:val="100"/>
          <w:sz w:val="24"/>
          <w:szCs w:val="24"/>
          <w:highlight w:val="none"/>
        </w:rPr>
        <w:t>项，其中</w:t>
      </w:r>
      <w:r>
        <w:rPr>
          <w:rFonts w:hint="default" w:ascii="Times New Roman" w:hAnsi="Times New Roman" w:eastAsia="宋体" w:cs="Times New Roman"/>
          <w:color w:val="auto"/>
          <w:w w:val="100"/>
          <w:kern w:val="2"/>
          <w:sz w:val="24"/>
          <w:szCs w:val="24"/>
          <w:highlight w:val="none"/>
          <w:lang w:val="en-US" w:eastAsia="zh-CN" w:bidi="ar-SA"/>
        </w:rPr>
        <w:t>锰、钠、溶解性总固体、氟化物、总硬度、硫酸盐、氯化物存</w:t>
      </w:r>
      <w:r>
        <w:rPr>
          <w:rFonts w:hint="default" w:ascii="Times New Roman" w:hAnsi="Times New Roman" w:cs="Times New Roman"/>
          <w:color w:val="auto"/>
          <w:w w:val="100"/>
          <w:sz w:val="24"/>
          <w:szCs w:val="24"/>
          <w:highlight w:val="none"/>
        </w:rPr>
        <w:t>在</w:t>
      </w:r>
      <w:r>
        <w:rPr>
          <w:rFonts w:hint="default" w:ascii="Times New Roman" w:hAnsi="Times New Roman" w:cs="Times New Roman"/>
          <w:color w:val="auto"/>
          <w:w w:val="100"/>
          <w:sz w:val="24"/>
          <w:szCs w:val="24"/>
          <w:highlight w:val="none"/>
          <w:lang w:eastAsia="zh-CN"/>
        </w:rPr>
        <w:t>不同程度地</w:t>
      </w:r>
      <w:r>
        <w:rPr>
          <w:rFonts w:hint="default" w:ascii="Times New Roman" w:hAnsi="Times New Roman" w:cs="Times New Roman"/>
          <w:color w:val="auto"/>
          <w:w w:val="100"/>
          <w:sz w:val="24"/>
          <w:szCs w:val="24"/>
          <w:highlight w:val="none"/>
        </w:rPr>
        <w:t>超标</w:t>
      </w:r>
      <w:r>
        <w:rPr>
          <w:rFonts w:hint="default" w:ascii="Times New Roman" w:hAnsi="Times New Roman" w:cs="Times New Roman"/>
          <w:color w:val="auto"/>
          <w:w w:val="100"/>
          <w:sz w:val="24"/>
          <w:szCs w:val="24"/>
          <w:highlight w:val="none"/>
          <w:lang w:eastAsia="zh-CN"/>
        </w:rPr>
        <w:t>现象</w:t>
      </w:r>
      <w:r>
        <w:rPr>
          <w:rFonts w:hint="eastAsia" w:ascii="Times New Roman" w:hAnsi="Times New Roman" w:eastAsia="宋体" w:cs="Times New Roman"/>
          <w:color w:val="auto"/>
          <w:w w:val="100"/>
          <w:kern w:val="2"/>
          <w:sz w:val="24"/>
          <w:szCs w:val="24"/>
          <w:highlight w:val="none"/>
          <w:lang w:val="en-US" w:eastAsia="zh-CN" w:bidi="ar-SA"/>
        </w:rPr>
        <w:t>。</w:t>
      </w:r>
      <w:r>
        <w:rPr>
          <w:rFonts w:hint="eastAsia" w:cs="Times New Roman"/>
          <w:color w:val="auto"/>
          <w:highlight w:val="none"/>
          <w:lang w:val="en-US" w:eastAsia="zh-CN"/>
        </w:rPr>
        <w:t>根据沧州市区域地下水质量状况，浅层地下水</w:t>
      </w:r>
      <w:r>
        <w:rPr>
          <w:rFonts w:hint="default" w:cs="Times New Roman"/>
          <w:color w:val="auto"/>
          <w:highlight w:val="none"/>
          <w:lang w:val="en-US" w:eastAsia="zh-CN"/>
        </w:rPr>
        <w:t>溶解性总固体、总硬度、氯化物、硫酸盐普遍超标属于普遍现象。</w:t>
      </w:r>
    </w:p>
    <w:p>
      <w:pPr>
        <w:pStyle w:val="2"/>
        <w:rPr>
          <w:rFonts w:hint="eastAsia" w:cs="Times New Roman"/>
          <w:color w:val="auto"/>
          <w:highlight w:val="none"/>
          <w:lang w:val="en-US" w:eastAsia="zh-CN"/>
        </w:rPr>
      </w:pPr>
      <w:r>
        <w:rPr>
          <w:rFonts w:hint="eastAsia" w:cs="Times New Roman"/>
          <w:color w:val="auto"/>
          <w:highlight w:val="none"/>
          <w:lang w:val="en-US" w:eastAsia="zh-CN"/>
        </w:rPr>
        <w:t>本次引用河北省地矿局第四水文工程地质大队均衡试验场内2口地下水监测井的数据，作为沧州市地下水背景点进行对比分析，该点距离本地块2km，且位于地下水上游。</w:t>
      </w:r>
    </w:p>
    <w:p>
      <w:pPr>
        <w:rPr>
          <w:rFonts w:hint="eastAsia" w:eastAsia="宋体"/>
          <w:color w:val="auto"/>
          <w:highlight w:val="none"/>
          <w:lang w:eastAsia="zh-CN"/>
        </w:rPr>
      </w:pPr>
      <w:r>
        <w:rPr>
          <w:rFonts w:hint="default"/>
          <w:color w:val="auto"/>
          <w:highlight w:val="none"/>
          <w:lang w:eastAsia="zh-CN"/>
        </w:rPr>
        <w:t>通过地块内上下游监测数据的进一步对比，</w:t>
      </w:r>
      <w:r>
        <w:rPr>
          <w:rFonts w:hint="eastAsia" w:eastAsia="宋体"/>
          <w:color w:val="auto"/>
          <w:highlight w:val="none"/>
          <w:lang w:eastAsia="zh-CN"/>
        </w:rPr>
        <w:t>地块内地下水中溶解性总固体、总硬度、硫酸盐、氯化物含量偏高，存在超标现象，对比背景值及沧州市区域地下水水质，分析超标现象与沧州市地质结构有关，沧州市地处冲洪积平原区，地势平缓，浅层地下水开采层为第一含水组，地下水埋深较浅，排泄方式以人工开采为主，其次是潜水蒸发，侧向径流微弱，土壤中矿物成分经过不断风化淋溶，造成了地下水化学成分逐渐增多，形成盐分积累；铁的检测值普遍高于背景值，</w:t>
      </w:r>
      <w:r>
        <w:rPr>
          <w:rFonts w:hint="eastAsia"/>
          <w:color w:val="auto"/>
          <w:highlight w:val="none"/>
          <w:lang w:eastAsia="zh-CN"/>
        </w:rPr>
        <w:t>但不存在超标现象不再赘述；氟化物的检测值较背景值偏高，且存在超标现象；氨氮、亚硝酸盐、耗氧量等污染指标均与背景点处于同一浓度水平。</w:t>
      </w:r>
    </w:p>
    <w:p>
      <w:pPr>
        <w:rPr>
          <w:rFonts w:hint="default"/>
          <w:color w:val="auto"/>
          <w:highlight w:val="none"/>
          <w:lang w:val="en-US" w:eastAsia="zh-CN"/>
        </w:rPr>
      </w:pPr>
      <w:r>
        <w:rPr>
          <w:rFonts w:hint="eastAsia" w:ascii="Times New Roman" w:eastAsia="宋体"/>
          <w:color w:val="auto"/>
          <w:highlight w:val="none"/>
          <w:lang w:val="en-US" w:eastAsia="zh-CN"/>
        </w:rPr>
        <w:t>W</w:t>
      </w:r>
      <w:r>
        <w:rPr>
          <w:rFonts w:hint="eastAsia"/>
          <w:color w:val="auto"/>
          <w:highlight w:val="none"/>
          <w:lang w:val="en-US" w:eastAsia="zh-CN"/>
        </w:rPr>
        <w:t>A10</w:t>
      </w:r>
      <w:r>
        <w:rPr>
          <w:rFonts w:hint="default" w:ascii="Times New Roman" w:hAnsi="Times New Roman" w:cs="Times New Roman"/>
          <w:color w:val="auto"/>
          <w:sz w:val="24"/>
          <w:szCs w:val="24"/>
          <w:highlight w:val="none"/>
          <w:lang w:val="en-US" w:eastAsia="zh-CN"/>
        </w:rPr>
        <w:t>（</w:t>
      </w:r>
      <w:r>
        <w:rPr>
          <w:rFonts w:hint="eastAsia" w:cs="Times New Roman"/>
          <w:b w:val="0"/>
          <w:bCs w:val="0"/>
          <w:color w:val="auto"/>
          <w:kern w:val="2"/>
          <w:sz w:val="24"/>
          <w:szCs w:val="24"/>
          <w:highlight w:val="none"/>
          <w:lang w:val="en-US" w:eastAsia="zh-CN" w:bidi="ar-SA"/>
        </w:rPr>
        <w:t>白水回收</w:t>
      </w:r>
      <w:r>
        <w:rPr>
          <w:rFonts w:hint="default" w:ascii="Times New Roman" w:hAnsi="Times New Roman" w:cs="Times New Roman"/>
          <w:color w:val="auto"/>
          <w:sz w:val="24"/>
          <w:szCs w:val="24"/>
          <w:highlight w:val="none"/>
          <w:lang w:val="en-US" w:eastAsia="zh-CN"/>
        </w:rPr>
        <w:t>）</w:t>
      </w:r>
      <w:r>
        <w:rPr>
          <w:rFonts w:hint="eastAsia" w:ascii="Times New Roman" w:eastAsia="宋体"/>
          <w:color w:val="auto"/>
          <w:sz w:val="24"/>
          <w:szCs w:val="24"/>
          <w:highlight w:val="none"/>
          <w:lang w:val="en-US" w:eastAsia="zh-CN"/>
        </w:rPr>
        <w:t>中</w:t>
      </w:r>
      <w:r>
        <w:rPr>
          <w:rFonts w:hint="eastAsia"/>
          <w:color w:val="auto"/>
          <w:sz w:val="24"/>
          <w:szCs w:val="24"/>
          <w:highlight w:val="none"/>
          <w:lang w:val="en-US" w:eastAsia="zh-CN"/>
        </w:rPr>
        <w:t>锰、</w:t>
      </w:r>
      <w:r>
        <w:rPr>
          <w:rFonts w:hint="eastAsia" w:ascii="Times New Roman" w:eastAsia="宋体"/>
          <w:color w:val="auto"/>
          <w:sz w:val="24"/>
          <w:szCs w:val="24"/>
          <w:highlight w:val="none"/>
          <w:lang w:val="en-US" w:eastAsia="zh-CN"/>
        </w:rPr>
        <w:t>钠</w:t>
      </w:r>
      <w:r>
        <w:rPr>
          <w:rFonts w:hint="eastAsia" w:cs="Times New Roman"/>
          <w:b w:val="0"/>
          <w:bCs w:val="0"/>
          <w:color w:val="auto"/>
          <w:sz w:val="24"/>
          <w:szCs w:val="24"/>
          <w:highlight w:val="none"/>
          <w:lang w:val="en-US" w:eastAsia="zh-CN"/>
        </w:rPr>
        <w:t>存在超标现象，</w:t>
      </w:r>
      <w:r>
        <w:rPr>
          <w:rFonts w:hint="eastAsia" w:cs="Times New Roman"/>
          <w:color w:val="auto"/>
          <w:sz w:val="24"/>
          <w:szCs w:val="24"/>
          <w:highlight w:val="none"/>
          <w:lang w:val="en-US" w:eastAsia="zh-CN"/>
        </w:rPr>
        <w:t>分析</w:t>
      </w:r>
      <w:r>
        <w:rPr>
          <w:rFonts w:hint="default" w:ascii="Times New Roman" w:hAnsi="Times New Roman" w:cs="Times New Roman"/>
          <w:color w:val="auto"/>
          <w:sz w:val="24"/>
          <w:szCs w:val="24"/>
          <w:highlight w:val="none"/>
          <w:lang w:val="en-US" w:eastAsia="zh-CN"/>
        </w:rPr>
        <w:t>可能是造纸厂生产过程白水跑冒滴漏造成的</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W</w:t>
      </w:r>
      <w:r>
        <w:rPr>
          <w:rFonts w:hint="eastAsia" w:cs="Times New Roman"/>
          <w:b w:val="0"/>
          <w:bCs w:val="0"/>
          <w:color w:val="auto"/>
          <w:sz w:val="24"/>
          <w:szCs w:val="24"/>
          <w:highlight w:val="none"/>
          <w:lang w:val="en-US" w:eastAsia="zh-CN"/>
        </w:rPr>
        <w:t>E1</w:t>
      </w:r>
      <w:r>
        <w:rPr>
          <w:rFonts w:hint="default" w:ascii="Times New Roman" w:hAnsi="Times New Roman" w:cs="Times New Roman"/>
          <w:color w:val="auto"/>
          <w:sz w:val="24"/>
          <w:szCs w:val="24"/>
          <w:highlight w:val="none"/>
          <w:lang w:val="en-US" w:eastAsia="zh-CN"/>
        </w:rPr>
        <w:t>（</w:t>
      </w:r>
      <w:r>
        <w:rPr>
          <w:rFonts w:hint="eastAsia" w:cs="Times New Roman"/>
          <w:b w:val="0"/>
          <w:bCs w:val="0"/>
          <w:color w:val="auto"/>
          <w:sz w:val="24"/>
          <w:szCs w:val="24"/>
          <w:highlight w:val="none"/>
          <w:vertAlign w:val="baseline"/>
          <w:lang w:val="en-US" w:eastAsia="zh-CN"/>
        </w:rPr>
        <w:t>料棚</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氟化物存在超标现象，分析</w:t>
      </w:r>
      <w:r>
        <w:rPr>
          <w:rFonts w:hint="default" w:ascii="Times New Roman" w:hAnsi="Times New Roman" w:cs="Times New Roman"/>
          <w:color w:val="auto"/>
          <w:sz w:val="24"/>
          <w:szCs w:val="24"/>
          <w:highlight w:val="none"/>
          <w:lang w:val="en-US" w:eastAsia="zh-CN"/>
        </w:rPr>
        <w:t>可能是</w:t>
      </w:r>
      <w:r>
        <w:rPr>
          <w:rFonts w:hint="eastAsia" w:cs="Times New Roman"/>
          <w:color w:val="auto"/>
          <w:sz w:val="24"/>
          <w:szCs w:val="24"/>
          <w:highlight w:val="none"/>
          <w:lang w:val="en-US" w:eastAsia="zh-CN"/>
        </w:rPr>
        <w:t>原佟家花园奶牛场改为商住混合区后，人类生产活动造成的；</w:t>
      </w:r>
      <w:r>
        <w:rPr>
          <w:rFonts w:hint="default" w:ascii="Times New Roman" w:hAnsi="Times New Roman" w:eastAsia="宋体" w:cs="Times New Roman"/>
          <w:b w:val="0"/>
          <w:bCs w:val="0"/>
          <w:color w:val="auto"/>
          <w:sz w:val="24"/>
          <w:szCs w:val="24"/>
          <w:highlight w:val="none"/>
          <w:lang w:val="en-US" w:eastAsia="zh-CN"/>
        </w:rPr>
        <w:t>W</w:t>
      </w:r>
      <w:r>
        <w:rPr>
          <w:rFonts w:hint="eastAsia" w:cs="Times New Roman"/>
          <w:b w:val="0"/>
          <w:bCs w:val="0"/>
          <w:color w:val="auto"/>
          <w:sz w:val="24"/>
          <w:szCs w:val="24"/>
          <w:highlight w:val="none"/>
          <w:lang w:val="en-US" w:eastAsia="zh-CN"/>
        </w:rPr>
        <w:t>F5（成品库）钠、氟化物</w:t>
      </w:r>
      <w:r>
        <w:rPr>
          <w:rFonts w:hint="eastAsia" w:cs="Times New Roman"/>
          <w:color w:val="auto"/>
          <w:sz w:val="24"/>
          <w:szCs w:val="24"/>
          <w:highlight w:val="none"/>
          <w:lang w:val="en-US" w:eastAsia="zh-CN"/>
        </w:rPr>
        <w:t>超标，分析</w:t>
      </w:r>
      <w:r>
        <w:rPr>
          <w:rFonts w:hint="default" w:ascii="Times New Roman" w:hAnsi="Times New Roman" w:cs="Times New Roman"/>
          <w:color w:val="auto"/>
          <w:sz w:val="24"/>
          <w:szCs w:val="24"/>
          <w:highlight w:val="none"/>
          <w:lang w:val="en-US" w:eastAsia="zh-CN"/>
        </w:rPr>
        <w:t>可能是</w:t>
      </w:r>
      <w:r>
        <w:rPr>
          <w:rFonts w:hint="eastAsia" w:cs="Times New Roman"/>
          <w:color w:val="auto"/>
          <w:sz w:val="24"/>
          <w:szCs w:val="24"/>
          <w:highlight w:val="none"/>
          <w:lang w:val="en-US" w:eastAsia="zh-CN"/>
        </w:rPr>
        <w:t>人类活动或货物堆存</w:t>
      </w:r>
      <w:r>
        <w:rPr>
          <w:rFonts w:hint="default" w:ascii="Times New Roman" w:hAnsi="Times New Roman" w:cs="Times New Roman"/>
          <w:color w:val="auto"/>
          <w:sz w:val="24"/>
          <w:szCs w:val="24"/>
          <w:highlight w:val="none"/>
          <w:lang w:val="en-US" w:eastAsia="zh-CN"/>
        </w:rPr>
        <w:t>造成的</w:t>
      </w:r>
      <w:r>
        <w:rPr>
          <w:rFonts w:hint="eastAsia" w:cs="Times New Roman"/>
          <w:color w:val="auto"/>
          <w:sz w:val="24"/>
          <w:szCs w:val="24"/>
          <w:highlight w:val="none"/>
          <w:lang w:val="en-US" w:eastAsia="zh-CN"/>
        </w:rPr>
        <w:t>。</w:t>
      </w:r>
    </w:p>
    <w:p>
      <w:pPr>
        <w:pStyle w:val="2"/>
        <w:ind w:firstLine="480"/>
        <w:rPr>
          <w:rFonts w:hint="default" w:ascii="Times New Roman" w:hAnsi="Times New Roman" w:eastAsia="宋体" w:cs="黑体"/>
          <w:b/>
          <w:bCs/>
          <w:color w:val="auto"/>
          <w:kern w:val="2"/>
          <w:sz w:val="24"/>
          <w:szCs w:val="24"/>
          <w:highlight w:val="none"/>
          <w:lang w:val="en-US" w:eastAsia="zh-CN" w:bidi="ar-SA"/>
        </w:rPr>
      </w:pPr>
      <w:r>
        <w:rPr>
          <w:rFonts w:hint="eastAsia" w:eastAsia="宋体"/>
          <w:color w:val="auto"/>
          <w:highlight w:val="none"/>
          <w:lang w:val="en-US" w:eastAsia="zh-CN"/>
        </w:rPr>
        <w:t>本项目地块位于沧州市</w:t>
      </w:r>
      <w:r>
        <w:rPr>
          <w:rFonts w:hint="eastAsia" w:ascii="Times New Roman" w:eastAsia="宋体"/>
          <w:color w:val="auto"/>
          <w:highlight w:val="none"/>
          <w:lang w:val="en-US" w:eastAsia="zh-CN"/>
        </w:rPr>
        <w:t>新华区</w:t>
      </w:r>
      <w:r>
        <w:rPr>
          <w:rFonts w:hint="eastAsia" w:eastAsia="宋体"/>
          <w:color w:val="auto"/>
          <w:highlight w:val="none"/>
          <w:lang w:val="en-US" w:eastAsia="zh-CN"/>
        </w:rPr>
        <w:t>，区域内已实现集中供水，地下水不开采</w:t>
      </w:r>
      <w:r>
        <w:rPr>
          <w:rFonts w:hint="eastAsia" w:ascii="Times New Roman" w:eastAsia="宋体"/>
          <w:color w:val="auto"/>
          <w:highlight w:val="none"/>
          <w:lang w:val="en-US" w:eastAsia="zh-CN"/>
        </w:rPr>
        <w:t>饮用</w:t>
      </w:r>
      <w:r>
        <w:rPr>
          <w:rFonts w:hint="eastAsia" w:eastAsia="宋体"/>
          <w:color w:val="auto"/>
          <w:highlight w:val="none"/>
          <w:lang w:val="en-US" w:eastAsia="zh-CN"/>
        </w:rPr>
        <w:t>，</w:t>
      </w:r>
      <w:r>
        <w:rPr>
          <w:rFonts w:hint="default" w:ascii="Times New Roman" w:hAnsi="Times New Roman" w:eastAsia="宋体" w:cs="Times New Roman"/>
          <w:color w:val="auto"/>
          <w:highlight w:val="none"/>
          <w:lang w:val="en-US" w:eastAsia="zh-CN"/>
        </w:rPr>
        <w:t>浅层地下水暂无利用规划，不</w:t>
      </w:r>
      <w:r>
        <w:rPr>
          <w:rFonts w:hint="default" w:ascii="Times New Roman" w:hAnsi="Times New Roman" w:cs="Times New Roman"/>
          <w:color w:val="auto"/>
          <w:highlight w:val="none"/>
          <w:lang w:val="en-US" w:eastAsia="zh-CN"/>
        </w:rPr>
        <w:t>作</w:t>
      </w:r>
      <w:r>
        <w:rPr>
          <w:rFonts w:hint="default" w:ascii="Times New Roman" w:hAnsi="Times New Roman" w:eastAsia="宋体" w:cs="Times New Roman"/>
          <w:color w:val="auto"/>
          <w:highlight w:val="none"/>
          <w:lang w:val="en-US" w:eastAsia="zh-CN"/>
        </w:rPr>
        <w:t>为饮用水源</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超标因子</w:t>
      </w:r>
      <w:r>
        <w:rPr>
          <w:rFonts w:hint="default" w:cs="Times New Roman"/>
          <w:color w:val="auto"/>
          <w:highlight w:val="none"/>
          <w:lang w:val="en-US" w:eastAsia="zh-CN"/>
        </w:rPr>
        <w:t>中锰、钠、溶解性总固体、氟化物、总硬度、硫酸盐、氯化物</w:t>
      </w:r>
      <w:r>
        <w:rPr>
          <w:rFonts w:hint="eastAsia" w:cs="Times New Roman"/>
          <w:color w:val="auto"/>
          <w:highlight w:val="none"/>
          <w:lang w:val="en-US" w:eastAsia="zh-CN"/>
        </w:rPr>
        <w:t>等</w:t>
      </w:r>
      <w:r>
        <w:rPr>
          <w:rFonts w:hint="default" w:ascii="Times New Roman" w:hAnsi="Times New Roman" w:eastAsia="宋体" w:cs="Times New Roman"/>
          <w:color w:val="auto"/>
          <w:highlight w:val="none"/>
          <w:lang w:val="en-US" w:eastAsia="zh-CN"/>
        </w:rPr>
        <w:t>均为一般化学指标，</w:t>
      </w:r>
      <w:r>
        <w:rPr>
          <w:rFonts w:hint="eastAsia" w:cs="Times New Roman"/>
          <w:color w:val="auto"/>
          <w:highlight w:val="none"/>
          <w:lang w:val="en-US" w:eastAsia="zh-CN"/>
        </w:rPr>
        <w:t>对人体健康危害不大</w:t>
      </w:r>
      <w:r>
        <w:rPr>
          <w:rFonts w:hint="default" w:ascii="Times New Roman" w:hAnsi="Times New Roman" w:eastAsia="宋体" w:cs="Times New Roman"/>
          <w:color w:val="auto"/>
          <w:highlight w:val="none"/>
          <w:lang w:val="en-US" w:eastAsia="zh-CN"/>
        </w:rPr>
        <w:t>，在不饮用的情况下对人体健康不存在暴露途径，因此对未来居民不存在健康风险。</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6" w:name="_Toc19889"/>
      <w:bookmarkStart w:id="57" w:name="_Toc17853"/>
      <w:bookmarkStart w:id="58" w:name="_Toc12163"/>
      <w:bookmarkStart w:id="59" w:name="_Toc25591"/>
      <w:r>
        <w:rPr>
          <w:rFonts w:hint="eastAsia" w:cs="Times New Roman"/>
          <w:b/>
          <w:color w:val="auto"/>
          <w:sz w:val="28"/>
          <w:highlight w:val="none"/>
          <w:lang w:val="en-US" w:eastAsia="zh-CN"/>
        </w:rPr>
        <w:t>5</w:t>
      </w:r>
      <w:r>
        <w:rPr>
          <w:rFonts w:hint="default" w:ascii="Times New Roman" w:hAnsi="Times New Roman" w:cs="Times New Roman"/>
          <w:b/>
          <w:color w:val="auto"/>
          <w:sz w:val="28"/>
          <w:highlight w:val="none"/>
        </w:rPr>
        <w:t xml:space="preserve"> </w:t>
      </w:r>
      <w:r>
        <w:rPr>
          <w:rFonts w:hint="eastAsia" w:cs="Times New Roman"/>
          <w:b/>
          <w:color w:val="auto"/>
          <w:sz w:val="28"/>
          <w:highlight w:val="none"/>
          <w:lang w:eastAsia="zh-CN"/>
        </w:rPr>
        <w:t>地块初步</w:t>
      </w:r>
      <w:r>
        <w:rPr>
          <w:rFonts w:hint="default" w:ascii="Times New Roman" w:hAnsi="Times New Roman" w:cs="Times New Roman"/>
          <w:b/>
          <w:color w:val="auto"/>
          <w:sz w:val="28"/>
          <w:highlight w:val="none"/>
        </w:rPr>
        <w:t>调查结论</w:t>
      </w:r>
      <w:bookmarkEnd w:id="45"/>
      <w:bookmarkEnd w:id="46"/>
      <w:bookmarkEnd w:id="47"/>
      <w:bookmarkEnd w:id="48"/>
      <w:bookmarkEnd w:id="49"/>
      <w:bookmarkEnd w:id="50"/>
      <w:bookmarkEnd w:id="51"/>
      <w:bookmarkEnd w:id="52"/>
      <w:bookmarkEnd w:id="53"/>
      <w:bookmarkEnd w:id="54"/>
      <w:bookmarkEnd w:id="56"/>
      <w:bookmarkEnd w:id="57"/>
      <w:bookmarkEnd w:id="58"/>
      <w:bookmarkEnd w:id="59"/>
    </w:p>
    <w:p>
      <w:pPr>
        <w:ind w:firstLine="480"/>
        <w:rPr>
          <w:rFonts w:hint="default" w:ascii="Times New Roman" w:hAnsi="Times New Roman" w:eastAsia="宋体" w:cs="Times New Roman"/>
          <w:color w:val="auto"/>
          <w:lang w:val="en-US" w:eastAsia="zh-CN"/>
        </w:rPr>
      </w:pPr>
      <w:bookmarkStart w:id="60" w:name="_Toc3494"/>
      <w:bookmarkStart w:id="61" w:name="_Toc31760"/>
      <w:bookmarkStart w:id="62" w:name="_Toc16557"/>
      <w:bookmarkStart w:id="63" w:name="_Toc30875"/>
      <w:bookmarkStart w:id="64" w:name="_Toc17273"/>
      <w:bookmarkStart w:id="65" w:name="_Toc29026"/>
      <w:bookmarkStart w:id="66" w:name="_Toc22256"/>
      <w:bookmarkStart w:id="67" w:name="_Toc2966"/>
      <w:bookmarkStart w:id="68" w:name="_Toc27609"/>
      <w:bookmarkStart w:id="69" w:name="_Toc7090"/>
      <w:r>
        <w:rPr>
          <w:rFonts w:hint="default" w:ascii="Times New Roman" w:hAnsi="Times New Roman" w:cs="Times New Roman"/>
          <w:color w:val="auto"/>
          <w:highlight w:val="none"/>
        </w:rPr>
        <w:t>根据对本项目地块土壤样品检测结果的分析统计，</w:t>
      </w:r>
      <w:r>
        <w:rPr>
          <w:rFonts w:hint="default" w:ascii="Times New Roman" w:hAnsi="Times New Roman" w:cs="Times New Roman"/>
          <w:color w:val="auto"/>
          <w:highlight w:val="none"/>
          <w:lang w:eastAsia="zh-CN"/>
        </w:rPr>
        <w:t>本项目土壤</w:t>
      </w:r>
      <w:r>
        <w:rPr>
          <w:rFonts w:hint="eastAsia" w:cs="Times New Roman"/>
          <w:color w:val="auto"/>
          <w:highlight w:val="none"/>
          <w:lang w:eastAsia="zh-CN"/>
        </w:rPr>
        <w:t>监测结果均未超出本次</w:t>
      </w:r>
      <w:r>
        <w:rPr>
          <w:rFonts w:hint="default" w:ascii="Times New Roman" w:hAnsi="Times New Roman" w:cs="Times New Roman"/>
          <w:color w:val="auto"/>
          <w:highlight w:val="none"/>
        </w:rPr>
        <w:t>土壤污染状况调查所用的筛选值</w:t>
      </w:r>
      <w:r>
        <w:rPr>
          <w:rFonts w:hint="default" w:ascii="Times New Roman" w:hAnsi="Times New Roman" w:cs="Times New Roman"/>
          <w:color w:val="auto"/>
          <w:highlight w:val="none"/>
          <w:lang w:eastAsia="zh-CN"/>
        </w:rPr>
        <w:t>，</w:t>
      </w:r>
      <w:r>
        <w:rPr>
          <w:rFonts w:hint="eastAsia" w:cs="Times New Roman"/>
          <w:color w:val="auto"/>
          <w:highlight w:val="none"/>
          <w:lang w:eastAsia="zh-CN"/>
        </w:rPr>
        <w:t>地下水部分点位的部分因子监测结果超过本次土壤污染状况调查所用的评价值，但超标因子均为一般化学指标，对人体健康危害不大，在不饮用的情况下对人体健康不存在暴露途径，因此对未来居民不存在健康风险，整体认为地块无需启动详细调查及风险评估工作，本地块调查工作到该阶段</w:t>
      </w:r>
      <w:r>
        <w:rPr>
          <w:rFonts w:hint="default" w:ascii="Times New Roman" w:hAnsi="Times New Roman" w:cs="Times New Roman"/>
          <w:color w:val="auto"/>
          <w:highlight w:val="none"/>
        </w:rPr>
        <w:t>（技术路线第二阶段）结束。该地块用地性质规划为居住用地，即</w:t>
      </w:r>
      <w:r>
        <w:rPr>
          <w:rFonts w:hint="eastAsia" w:cs="Times New Roman"/>
          <w:color w:val="auto"/>
          <w:highlight w:val="none"/>
          <w:lang w:eastAsia="zh-CN"/>
        </w:rPr>
        <w:t>按照</w:t>
      </w:r>
      <w:r>
        <w:rPr>
          <w:rFonts w:hint="default" w:ascii="Times New Roman" w:hAnsi="Times New Roman" w:cs="Times New Roman"/>
          <w:color w:val="auto"/>
          <w:highlight w:val="none"/>
        </w:rPr>
        <w:t>《土壤环境质量 建设用地土壤污染风险管控标准（试行）》（GB 36600-2018）中的第一类用地进行评价，根据监测结果分析，本地块达到一类用地标准，因此本地块可作为居住用地安全利用。</w:t>
      </w:r>
      <w:r>
        <w:rPr>
          <w:rFonts w:hint="eastAsia" w:ascii="Times New Roman" w:hAnsi="Times New Roman" w:cs="Times New Roman"/>
          <w:color w:val="auto"/>
          <w:lang w:val="en-US" w:eastAsia="zh-CN"/>
        </w:rPr>
        <w:t xml:space="preserve">    </w:t>
      </w:r>
    </w:p>
    <w:p>
      <w:pPr>
        <w:keepNext/>
        <w:keepLines/>
        <w:spacing w:before="60" w:after="60"/>
        <w:ind w:firstLine="0" w:firstLineChars="0"/>
        <w:outlineLvl w:val="2"/>
        <w:rPr>
          <w:rFonts w:hint="default" w:ascii="Times New Roman" w:hAnsi="Times New Roman" w:eastAsia="宋体" w:cs="Times New Roman"/>
          <w:b/>
          <w:color w:val="auto"/>
          <w:sz w:val="28"/>
          <w:highlight w:val="none"/>
        </w:rPr>
      </w:pPr>
      <w:bookmarkStart w:id="70" w:name="_Toc14149"/>
      <w:bookmarkStart w:id="71" w:name="_Toc26110"/>
      <w:bookmarkStart w:id="72" w:name="_Toc25951"/>
      <w:bookmarkStart w:id="73" w:name="_Toc321"/>
      <w:bookmarkStart w:id="74" w:name="_Toc21145"/>
      <w:r>
        <w:rPr>
          <w:rFonts w:hint="eastAsia" w:cs="Times New Roman"/>
          <w:b/>
          <w:color w:val="auto"/>
          <w:sz w:val="28"/>
          <w:highlight w:val="none"/>
          <w:lang w:val="en-US" w:eastAsia="zh-CN"/>
        </w:rPr>
        <w:t>6</w:t>
      </w:r>
      <w:r>
        <w:rPr>
          <w:rFonts w:hint="default" w:ascii="Times New Roman" w:hAnsi="Times New Roman" w:eastAsia="宋体" w:cs="Times New Roman"/>
          <w:b/>
          <w:color w:val="auto"/>
          <w:sz w:val="28"/>
          <w:highlight w:val="none"/>
        </w:rPr>
        <w:t xml:space="preserve"> 建议</w:t>
      </w:r>
      <w:bookmarkEnd w:id="42"/>
      <w:bookmarkEnd w:id="43"/>
      <w:bookmarkEnd w:id="4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1）在后续拆迁、开发过程中，严格按照《关于加强工业企业关停、搬迁及原址地块再开发利用过程中污染防治工作的通知》（环发〔2014]66号）及《企业拆除活动污染防治技术规定》（2017第78号）的要求，规范搬迁。对于地块内拆除过程中产生的建筑垃圾，企业应进行清理，并按照相关规范妥善处置，避免污染环境。</w:t>
      </w:r>
    </w:p>
    <w:p>
      <w:pPr>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eastAsia" w:cs="Times New Roman"/>
          <w:color w:val="auto"/>
          <w:highlight w:val="none"/>
          <w:lang w:val="en-US" w:eastAsia="zh-CN"/>
        </w:rPr>
        <w:t>2</w:t>
      </w:r>
      <w:r>
        <w:rPr>
          <w:rFonts w:hint="default" w:ascii="Times New Roman" w:hAnsi="Times New Roman" w:cs="Times New Roman"/>
          <w:color w:val="auto"/>
          <w:highlight w:val="none"/>
        </w:rPr>
        <w:t>）在后续拆除和开发过程中，一旦发现潜在污染源或地下隐蔽设施应及时上报生态环境主管部门，必要时应继续开展相应的地块内的环境调查工作。</w:t>
      </w:r>
    </w:p>
    <w:p>
      <w:pPr>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（3）根据地下水调查结果，项目区域内地下水存在</w:t>
      </w:r>
      <w:r>
        <w:rPr>
          <w:rFonts w:hint="default" w:ascii="Times New Roman" w:hAnsi="Times New Roman" w:cs="Times New Roman"/>
          <w:color w:val="auto"/>
          <w:highlight w:val="none"/>
          <w:lang w:val="en-US" w:eastAsia="zh-CN"/>
        </w:rPr>
        <w:t>锰、钠、溶解性总固体、氟化物、总硬度、硫酸盐、氯化物</w:t>
      </w:r>
      <w:r>
        <w:rPr>
          <w:rFonts w:hint="default" w:ascii="Times New Roman" w:hAnsi="Times New Roman" w:cs="Times New Roman"/>
          <w:color w:val="auto"/>
          <w:highlight w:val="none"/>
        </w:rPr>
        <w:t>等指标超标的情况，不满足饮用水水质要求，严禁居民开采饮用。同时地块后期开发过程中如涉及基坑降水，抽出地下水需达标排放。</w:t>
      </w:r>
    </w:p>
    <w:p>
      <w:pPr>
        <w:rPr>
          <w:rFonts w:hint="default"/>
        </w:rPr>
      </w:pPr>
      <w:r>
        <w:rPr>
          <w:rFonts w:hint="eastAsia"/>
          <w:color w:val="auto"/>
          <w:highlight w:val="none"/>
          <w:lang w:val="en-US" w:eastAsia="zh-CN"/>
        </w:rPr>
        <w:t>（4）</w:t>
      </w:r>
      <w:r>
        <w:rPr>
          <w:rFonts w:hint="eastAsia" w:ascii="Times New Roman" w:hAnsi="Times New Roman"/>
          <w:color w:val="auto"/>
          <w:highlight w:val="none"/>
          <w:lang w:val="en-US" w:eastAsia="zh-CN"/>
        </w:rPr>
        <w:t>本地块为</w:t>
      </w:r>
      <w:r>
        <w:rPr>
          <w:rFonts w:hint="default" w:ascii="Times New Roman" w:hAnsi="Times New Roman"/>
          <w:color w:val="auto"/>
          <w:highlight w:val="none"/>
          <w:lang w:val="en-US" w:eastAsia="zh-CN"/>
        </w:rPr>
        <w:t>沧州市新华区原造纸厂区域棚户区</w:t>
      </w:r>
      <w:r>
        <w:rPr>
          <w:rFonts w:hint="eastAsia"/>
          <w:color w:val="auto"/>
          <w:highlight w:val="none"/>
          <w:lang w:val="en-US" w:eastAsia="zh-CN"/>
        </w:rPr>
        <w:t>按照</w:t>
      </w:r>
      <w:r>
        <w:rPr>
          <w:rFonts w:hint="eastAsia" w:ascii="Times New Roman" w:hAnsi="Times New Roman"/>
          <w:color w:val="auto"/>
          <w:highlight w:val="none"/>
          <w:lang w:val="en-US" w:eastAsia="zh-CN"/>
        </w:rPr>
        <w:t>规划划分的四个地块</w:t>
      </w:r>
      <w:r>
        <w:rPr>
          <w:rFonts w:hint="eastAsia"/>
          <w:color w:val="auto"/>
          <w:highlight w:val="none"/>
          <w:lang w:val="en-US" w:eastAsia="zh-CN"/>
        </w:rPr>
        <w:t>之一</w:t>
      </w:r>
      <w:r>
        <w:rPr>
          <w:rFonts w:hint="eastAsia" w:ascii="Times New Roman" w:hAnsi="Times New Roman"/>
          <w:color w:val="auto"/>
          <w:highlight w:val="none"/>
          <w:lang w:val="en-US" w:eastAsia="zh-CN"/>
        </w:rPr>
        <w:t>，位于整个棚户区地下水</w:t>
      </w:r>
      <w:r>
        <w:rPr>
          <w:rFonts w:hint="eastAsia"/>
          <w:color w:val="auto"/>
          <w:highlight w:val="none"/>
          <w:lang w:val="en-US" w:eastAsia="zh-CN"/>
        </w:rPr>
        <w:t>流向</w:t>
      </w:r>
      <w:r>
        <w:rPr>
          <w:rFonts w:hint="eastAsia" w:ascii="Times New Roman" w:hAnsi="Times New Roman"/>
          <w:color w:val="auto"/>
          <w:highlight w:val="none"/>
          <w:lang w:val="en-US" w:eastAsia="zh-CN"/>
        </w:rPr>
        <w:t>的上游方向</w:t>
      </w:r>
      <w:r>
        <w:rPr>
          <w:rFonts w:hint="eastAsia"/>
          <w:color w:val="auto"/>
          <w:highlight w:val="none"/>
          <w:lang w:val="en-US" w:eastAsia="zh-CN"/>
        </w:rPr>
        <w:t>。由于B2地块紧邻的</w:t>
      </w:r>
      <w:r>
        <w:rPr>
          <w:rFonts w:hint="eastAsia" w:ascii="Times New Roman" w:hAnsi="Times New Roman"/>
          <w:color w:val="auto"/>
          <w:highlight w:val="none"/>
          <w:lang w:val="en-US" w:eastAsia="zh-CN"/>
        </w:rPr>
        <w:t>B1、C1地块</w:t>
      </w:r>
      <w:r>
        <w:rPr>
          <w:rFonts w:hint="eastAsia"/>
          <w:color w:val="auto"/>
          <w:highlight w:val="none"/>
          <w:lang w:val="en-US" w:eastAsia="zh-CN"/>
        </w:rPr>
        <w:t>中地下水存在超标现象，当本地块</w:t>
      </w:r>
      <w:r>
        <w:rPr>
          <w:rFonts w:hint="eastAsia" w:ascii="Times New Roman" w:hAnsi="Times New Roman"/>
          <w:color w:val="auto"/>
          <w:highlight w:val="none"/>
          <w:lang w:val="en-US" w:eastAsia="zh-CN"/>
        </w:rPr>
        <w:t>早</w:t>
      </w:r>
      <w:r>
        <w:rPr>
          <w:rFonts w:hint="eastAsia"/>
          <w:color w:val="auto"/>
          <w:highlight w:val="none"/>
          <w:lang w:val="en-US" w:eastAsia="zh-CN"/>
        </w:rPr>
        <w:t>于下游地块</w:t>
      </w:r>
      <w:r>
        <w:rPr>
          <w:rFonts w:hint="eastAsia" w:ascii="Times New Roman" w:hAnsi="Times New Roman"/>
          <w:color w:val="auto"/>
          <w:highlight w:val="none"/>
          <w:lang w:val="en-US" w:eastAsia="zh-CN"/>
        </w:rPr>
        <w:t>开发建设</w:t>
      </w:r>
      <w:r>
        <w:rPr>
          <w:rFonts w:hint="eastAsia"/>
          <w:color w:val="auto"/>
          <w:highlight w:val="none"/>
          <w:lang w:val="en-US" w:eastAsia="zh-CN"/>
        </w:rPr>
        <w:t>时，应对B2地块红线边界设置帷幕</w:t>
      </w:r>
      <w:r>
        <w:rPr>
          <w:rFonts w:hint="eastAsia"/>
          <w:color w:val="auto"/>
        </w:rPr>
        <w:t>，</w:t>
      </w:r>
      <w:r>
        <w:rPr>
          <w:rFonts w:hint="eastAsia"/>
          <w:color w:val="auto"/>
          <w:highlight w:val="none"/>
          <w:lang w:val="en-US" w:eastAsia="zh-CN"/>
        </w:rPr>
        <w:t>防止因基坑降水导致下游超标地下水迁移至本地块内，造成本地块土壤或地下水</w:t>
      </w:r>
      <w:r>
        <w:rPr>
          <w:rFonts w:hint="eastAsia" w:ascii="Times New Roman" w:hAnsi="Times New Roman"/>
          <w:color w:val="auto"/>
          <w:highlight w:val="none"/>
          <w:lang w:val="en-US" w:eastAsia="zh-CN"/>
        </w:rPr>
        <w:t>污染。</w:t>
      </w:r>
      <w:bookmarkStart w:id="75" w:name="_GoBack"/>
      <w:bookmarkEnd w:id="75"/>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OGEyYmQzNTMzNTUzNmRiOTI5MDAyZjhmYzQ1ZGYifQ=="/>
  </w:docVars>
  <w:rsids>
    <w:rsidRoot w:val="701527B4"/>
    <w:rsid w:val="0D063338"/>
    <w:rsid w:val="121E0758"/>
    <w:rsid w:val="24A07D86"/>
    <w:rsid w:val="6B486B8E"/>
    <w:rsid w:val="70152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4">
    <w:name w:val="heading 1"/>
    <w:basedOn w:val="1"/>
    <w:next w:val="1"/>
    <w:qFormat/>
    <w:uiPriority w:val="0"/>
    <w:pPr>
      <w:spacing w:before="180" w:after="180" w:line="520" w:lineRule="atLeast"/>
      <w:ind w:left="0" w:firstLine="0" w:firstLineChars="0"/>
      <w:outlineLvl w:val="0"/>
    </w:pPr>
    <w:rPr>
      <w:b/>
      <w:bCs/>
      <w:sz w:val="32"/>
      <w:szCs w:val="32"/>
    </w:rPr>
  </w:style>
  <w:style w:type="paragraph" w:styleId="5">
    <w:name w:val="heading 2"/>
    <w:basedOn w:val="4"/>
    <w:next w:val="6"/>
    <w:unhideWhenUsed/>
    <w:qFormat/>
    <w:uiPriority w:val="0"/>
    <w:pPr>
      <w:keepNext/>
      <w:keepLines/>
      <w:spacing w:before="120" w:after="120" w:line="480" w:lineRule="exact"/>
      <w:ind w:firstLine="0" w:firstLineChars="0"/>
      <w:jc w:val="left"/>
      <w:outlineLvl w:val="1"/>
    </w:pPr>
    <w:rPr>
      <w:sz w:val="30"/>
    </w:rPr>
  </w:style>
  <w:style w:type="paragraph" w:styleId="6">
    <w:name w:val="heading 3"/>
    <w:basedOn w:val="5"/>
    <w:next w:val="3"/>
    <w:unhideWhenUsed/>
    <w:qFormat/>
    <w:uiPriority w:val="0"/>
    <w:pPr>
      <w:keepNext/>
      <w:keepLines/>
      <w:spacing w:before="60" w:after="60" w:line="520" w:lineRule="exact"/>
      <w:ind w:firstLine="0" w:firstLineChars="0"/>
      <w:jc w:val="left"/>
      <w:outlineLvl w:val="2"/>
    </w:pPr>
    <w:rPr>
      <w:rFonts w:ascii="Times New Roman" w:hAnsi="Times New Roman" w:eastAsia="宋体"/>
      <w:sz w:val="28"/>
    </w:rPr>
  </w:style>
  <w:style w:type="paragraph" w:styleId="3">
    <w:name w:val="heading 4"/>
    <w:basedOn w:val="1"/>
    <w:next w:val="1"/>
    <w:unhideWhenUsed/>
    <w:qFormat/>
    <w:uiPriority w:val="0"/>
    <w:pPr>
      <w:keepNext/>
      <w:keepLines/>
      <w:adjustRightInd w:val="0"/>
      <w:snapToGrid w:val="0"/>
      <w:ind w:firstLine="0" w:firstLineChars="0"/>
      <w:jc w:val="left"/>
      <w:outlineLvl w:val="3"/>
    </w:pPr>
    <w:rPr>
      <w:rFonts w:ascii="Times New Roman" w:hAnsi="Times New Roman" w:eastAsia="宋体" w:cs="Times New Roman"/>
      <w:bCs/>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style>
  <w:style w:type="paragraph" w:styleId="7">
    <w:name w:val="Body Text"/>
    <w:basedOn w:val="1"/>
    <w:next w:val="1"/>
    <w:qFormat/>
    <w:uiPriority w:val="0"/>
    <w:pPr>
      <w:snapToGrid w:val="0"/>
      <w:jc w:val="center"/>
    </w:pPr>
    <w:rPr>
      <w:rFonts w:ascii="Arial" w:hAnsi="Arial"/>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0"/>
    <w:pPr>
      <w:ind w:left="420" w:leftChars="200"/>
    </w:pPr>
  </w:style>
  <w:style w:type="paragraph" w:styleId="11">
    <w:name w:val="Normal (Web)"/>
    <w:basedOn w:val="1"/>
    <w:qFormat/>
    <w:uiPriority w:val="99"/>
    <w:pPr>
      <w:widowControl/>
      <w:spacing w:before="100" w:beforeAutospacing="1" w:after="100" w:afterAutospacing="1"/>
      <w:jc w:val="left"/>
    </w:pPr>
    <w:rPr>
      <w:rFonts w:ascii="宋体" w:hAnsi="宋体" w:cs="宋体"/>
      <w:kern w:val="0"/>
    </w:r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3068</Words>
  <Characters>3378</Characters>
  <Lines>0</Lines>
  <Paragraphs>0</Paragraphs>
  <TotalTime>0</TotalTime>
  <ScaleCrop>false</ScaleCrop>
  <LinksUpToDate>false</LinksUpToDate>
  <CharactersWithSpaces>3400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2020-06-16T07:28:00Z</dcterms:created>
  <dc:creator>Administrator</dc:creator>
  <cp:lastModifiedBy>Administrator</cp:lastModifiedBy>
  <dcterms:modified xsi:type="dcterms:W3CDTF">2022-07-29T09:15:11Z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B17265DE7CE24BF2B681CC3EF9D1D742</vt:lpwstr>
  </property>
</Properties>
</file>