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default" w:ascii="Times New Roman" w:hAnsi="Times New Roman" w:eastAsia="宋体" w:cs="Times New Roman"/>
        </w:rPr>
      </w:pPr>
      <w:r>
        <w:rPr>
          <w:rFonts w:hint="eastAsia"/>
          <w:snapToGrid w:val="0"/>
          <w:szCs w:val="22"/>
        </w:rPr>
        <w:t>石家庄市鑫牛明胶有限公司原厂区</w:t>
      </w:r>
      <w:r>
        <w:t>地块土壤污染状况调</w:t>
      </w:r>
      <w:r>
        <w:rPr>
          <w:rFonts w:hint="default" w:ascii="Times New Roman" w:hAnsi="Times New Roman" w:eastAsia="宋体" w:cs="Times New Roman"/>
          <w:color w:val="auto"/>
          <w:kern w:val="2"/>
          <w:sz w:val="28"/>
          <w:szCs w:val="28"/>
          <w:highlight w:val="none"/>
          <w:lang w:val="en-US" w:eastAsia="zh-CN" w:bidi="ar-SA"/>
        </w:rPr>
        <w:t>报告</w:t>
      </w:r>
    </w:p>
    <w:p>
      <w:pPr>
        <w:pStyle w:val="4"/>
        <w:jc w:val="center"/>
        <w:rPr>
          <w:rFonts w:hint="default" w:ascii="Times New Roman" w:hAnsi="Times New Roman" w:cs="Times New Roman"/>
          <w:b w:val="0"/>
          <w:bCs/>
        </w:rPr>
      </w:pPr>
      <w:r>
        <w:rPr>
          <w:rFonts w:hint="default" w:ascii="Times New Roman" w:hAnsi="Times New Roman" w:cs="Times New Roman"/>
          <w:b w:val="0"/>
          <w:bCs/>
        </w:rPr>
        <w:t>（</w:t>
      </w:r>
      <w:r>
        <w:rPr>
          <w:rFonts w:hint="eastAsia" w:cs="Times New Roman"/>
          <w:b w:val="0"/>
          <w:bCs/>
          <w:lang w:eastAsia="zh-CN"/>
        </w:rPr>
        <w:t>公示本</w:t>
      </w:r>
      <w:r>
        <w:rPr>
          <w:rFonts w:hint="default" w:ascii="Times New Roman" w:hAnsi="Times New Roman" w:cs="Times New Roman"/>
          <w:b w:val="0"/>
          <w:bCs/>
        </w:rPr>
        <w:t>）</w:t>
      </w:r>
    </w:p>
    <w:p>
      <w:pPr>
        <w:pStyle w:val="4"/>
        <w:rPr>
          <w:rFonts w:hint="default" w:ascii="Times New Roman" w:hAnsi="Times New Roman" w:cs="Times New Roman"/>
          <w:highlight w:val="none"/>
        </w:rPr>
      </w:pPr>
      <w:r>
        <w:rPr>
          <w:rFonts w:hint="default" w:ascii="Times New Roman" w:hAnsi="Times New Roman" w:cs="Times New Roman"/>
          <w:highlight w:val="none"/>
        </w:rPr>
        <w:t>1 地块概况</w:t>
      </w:r>
    </w:p>
    <w:p>
      <w:pPr>
        <w:ind w:firstLine="480"/>
        <w:rPr>
          <w:rFonts w:hint="eastAsia"/>
          <w:snapToGrid w:val="0"/>
          <w:szCs w:val="22"/>
          <w:highlight w:val="yellow"/>
        </w:rPr>
      </w:pPr>
      <w:bookmarkStart w:id="0" w:name="_Toc22904"/>
      <w:bookmarkStart w:id="1" w:name="_Toc31687"/>
      <w:bookmarkStart w:id="2" w:name="_Toc31532"/>
      <w:bookmarkStart w:id="3" w:name="_Toc18637"/>
      <w:bookmarkStart w:id="4" w:name="_Toc27213"/>
      <w:bookmarkStart w:id="5" w:name="_Toc22861"/>
      <w:bookmarkStart w:id="6" w:name="_Toc18217"/>
      <w:bookmarkStart w:id="7" w:name="_Toc23724"/>
      <w:r>
        <w:rPr>
          <w:rFonts w:hint="eastAsia"/>
          <w:snapToGrid w:val="0"/>
          <w:szCs w:val="22"/>
        </w:rPr>
        <w:t>石家庄市鑫牛明胶有限公司</w:t>
      </w:r>
      <w:r>
        <w:t>位于</w:t>
      </w:r>
      <w:r>
        <w:rPr>
          <w:snapToGrid w:val="0"/>
          <w:szCs w:val="22"/>
        </w:rPr>
        <w:t>无极县城东，西罗尚村</w:t>
      </w:r>
      <w:r>
        <w:rPr>
          <w:rFonts w:hint="eastAsia"/>
          <w:snapToGrid w:val="0"/>
          <w:szCs w:val="22"/>
        </w:rPr>
        <w:t>西北方向370m处</w:t>
      </w:r>
      <w:r>
        <w:rPr>
          <w:snapToGrid w:val="0"/>
          <w:szCs w:val="22"/>
        </w:rPr>
        <w:t>，厂区</w:t>
      </w:r>
      <w:r>
        <w:rPr>
          <w:rFonts w:hint="eastAsia"/>
          <w:snapToGrid w:val="0"/>
          <w:szCs w:val="22"/>
        </w:rPr>
        <w:t>总</w:t>
      </w:r>
      <w:r>
        <w:rPr>
          <w:snapToGrid w:val="0"/>
          <w:szCs w:val="22"/>
        </w:rPr>
        <w:t>占地面积</w:t>
      </w:r>
      <w:r>
        <w:rPr>
          <w:rFonts w:hint="eastAsia"/>
        </w:rPr>
        <w:t xml:space="preserve">10927.72 </w:t>
      </w:r>
      <w:r>
        <w:t>m</w:t>
      </w:r>
      <w:r>
        <w:rPr>
          <w:vertAlign w:val="superscript"/>
        </w:rPr>
        <w:t>2</w:t>
      </w:r>
      <w:r>
        <w:rPr>
          <w:rFonts w:hint="eastAsia"/>
        </w:rPr>
        <w:t>（</w:t>
      </w:r>
      <w:r>
        <w:t>约合</w:t>
      </w:r>
      <w:r>
        <w:rPr>
          <w:rFonts w:hint="eastAsia"/>
        </w:rPr>
        <w:t>16.4</w:t>
      </w:r>
      <w:r>
        <w:t>亩</w:t>
      </w:r>
      <w:r>
        <w:rPr>
          <w:rFonts w:hint="eastAsia"/>
        </w:rPr>
        <w:t>）</w:t>
      </w:r>
      <w:r>
        <w:rPr>
          <w:snapToGrid w:val="0"/>
          <w:szCs w:val="22"/>
        </w:rPr>
        <w:t>。</w:t>
      </w:r>
      <w:r>
        <w:rPr>
          <w:rFonts w:hint="eastAsia"/>
          <w:snapToGrid w:val="0"/>
          <w:szCs w:val="22"/>
        </w:rPr>
        <w:t>该地块原为农田，1992年地块南部建设化工实验厂，进行散装过磷酸钙肥的筛分包装；1997年石家庄市鑫牛明胶有限公司对原化工实验厂厂房进行改建并租赁其以北的农田扩建</w:t>
      </w:r>
      <w:r>
        <w:rPr>
          <w:snapToGrid w:val="0"/>
          <w:szCs w:val="22"/>
        </w:rPr>
        <w:t>厂房</w:t>
      </w:r>
      <w:r>
        <w:rPr>
          <w:rFonts w:hint="eastAsia"/>
          <w:snapToGrid w:val="0"/>
          <w:szCs w:val="22"/>
        </w:rPr>
        <w:t>，1999年正式投产使用，生产明胶，直至2017年12月全面</w:t>
      </w:r>
      <w:r>
        <w:rPr>
          <w:snapToGrid w:val="0"/>
          <w:szCs w:val="22"/>
        </w:rPr>
        <w:t>停产</w:t>
      </w:r>
      <w:r>
        <w:rPr>
          <w:rFonts w:hint="eastAsia"/>
          <w:snapToGrid w:val="0"/>
          <w:szCs w:val="22"/>
        </w:rPr>
        <w:t>。</w:t>
      </w:r>
      <w:r>
        <w:t>目前</w:t>
      </w:r>
      <w:r>
        <w:rPr>
          <w:rFonts w:hint="eastAsia"/>
        </w:rPr>
        <w:t>地块</w:t>
      </w:r>
      <w:r>
        <w:t>内</w:t>
      </w:r>
      <w:r>
        <w:rPr>
          <w:rFonts w:hint="eastAsia"/>
        </w:rPr>
        <w:t>各</w:t>
      </w:r>
      <w:r>
        <w:t>建（构）筑物</w:t>
      </w:r>
      <w:r>
        <w:rPr>
          <w:rFonts w:hint="eastAsia"/>
        </w:rPr>
        <w:t>均未拆除，</w:t>
      </w:r>
      <w:r>
        <w:t>生产设备</w:t>
      </w:r>
      <w:r>
        <w:rPr>
          <w:rFonts w:hint="eastAsia"/>
        </w:rPr>
        <w:t>除切皮机外</w:t>
      </w:r>
      <w:r>
        <w:t>均未拆除</w:t>
      </w:r>
      <w:r>
        <w:rPr>
          <w:rFonts w:hint="eastAsia"/>
        </w:rPr>
        <w:t>，地块处于闲置状态。</w:t>
      </w:r>
    </w:p>
    <w:p>
      <w:pPr>
        <w:pStyle w:val="4"/>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widowControl/>
        <w:ind w:firstLine="480"/>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rPr>
        <w:t>我单位于</w:t>
      </w:r>
      <w:r>
        <w:t>2020年</w:t>
      </w:r>
      <w:r>
        <w:rPr>
          <w:rFonts w:hint="eastAsia"/>
        </w:rPr>
        <w:t>12</w:t>
      </w:r>
      <w:r>
        <w:t>月</w:t>
      </w:r>
      <w:r>
        <w:rPr>
          <w:rFonts w:hint="eastAsia"/>
        </w:rPr>
        <w:t>30</w:t>
      </w:r>
      <w:r>
        <w:t>日</w:t>
      </w:r>
      <w:r>
        <w:rPr>
          <w:rFonts w:hint="eastAsia"/>
        </w:rPr>
        <w:t>~2021年1月1日</w:t>
      </w:r>
      <w:r>
        <w:rPr>
          <w:rFonts w:hint="eastAsia"/>
          <w:lang w:eastAsia="zh-CN"/>
        </w:rPr>
        <w:t>，</w:t>
      </w:r>
      <w:r>
        <w:t>我单位技术人员对项目地块进行了现场钻探取样工作</w:t>
      </w:r>
      <w:r>
        <w:rPr>
          <w:rFonts w:hint="eastAsia"/>
        </w:rPr>
        <w:t>，</w:t>
      </w:r>
      <w:r>
        <w:t>本地块采用</w:t>
      </w:r>
      <w:r>
        <w:rPr>
          <w:rFonts w:hint="eastAsia"/>
        </w:rPr>
        <w:t>专业判断法，根据生产车间布置及排水管网走向，共设置13个采样点位，共采集土壤样品58组（个），另有6组（个）土壤平行样品。</w:t>
      </w:r>
      <w:r>
        <w:t>本次调查采集的土壤样品全部进行化验分析</w:t>
      </w:r>
      <w:r>
        <w:rPr>
          <w:rFonts w:hint="eastAsia"/>
        </w:rPr>
        <w:t>。</w:t>
      </w:r>
    </w:p>
    <w:p>
      <w:pPr>
        <w:ind w:firstLine="480"/>
        <w:jc w:val="both"/>
        <w:rPr>
          <w:rFonts w:hint="eastAsia" w:cs="Times New Roman"/>
          <w:color w:val="auto"/>
          <w:highlight w:val="none"/>
          <w:lang w:eastAsia="zh-CN"/>
        </w:rPr>
      </w:pPr>
      <w:r>
        <w:rPr>
          <w:rFonts w:hint="eastAsia" w:cs="Times New Roman"/>
          <w:color w:val="auto"/>
          <w:highlight w:val="none"/>
          <w:lang w:eastAsia="zh-CN"/>
        </w:rPr>
        <w:t>本项目</w:t>
      </w:r>
      <w:r>
        <w:rPr>
          <w:rFonts w:hint="default" w:ascii="Times New Roman" w:hAnsi="Times New Roman" w:cs="Times New Roman"/>
          <w:color w:val="auto"/>
          <w:highlight w:val="none"/>
        </w:rPr>
        <w:t>采样工作均由</w:t>
      </w:r>
      <w:r>
        <w:rPr>
          <w:rFonts w:hint="default" w:ascii="Times New Roman" w:hAnsi="Times New Roman" w:cs="Times New Roman"/>
          <w:color w:val="auto"/>
          <w:highlight w:val="none"/>
          <w:lang w:eastAsia="zh-CN"/>
        </w:rPr>
        <w:t>我单位</w:t>
      </w:r>
      <w:r>
        <w:rPr>
          <w:rFonts w:hint="default" w:ascii="Times New Roman" w:hAnsi="Times New Roman" w:cs="Times New Roman"/>
          <w:color w:val="auto"/>
          <w:highlight w:val="none"/>
        </w:rPr>
        <w:t>技术人员根据《</w:t>
      </w:r>
      <w:r>
        <w:rPr>
          <w:rFonts w:hint="default" w:ascii="Times New Roman" w:hAnsi="Times New Roman" w:cs="Times New Roman"/>
          <w:color w:val="auto"/>
          <w:highlight w:val="none"/>
          <w:lang w:eastAsia="zh-CN"/>
        </w:rPr>
        <w:t>布点采样</w:t>
      </w:r>
      <w:r>
        <w:rPr>
          <w:rFonts w:hint="default" w:ascii="Times New Roman" w:hAnsi="Times New Roman" w:cs="Times New Roman"/>
          <w:color w:val="auto"/>
          <w:highlight w:val="none"/>
        </w:rPr>
        <w:t>方案》要求进行</w:t>
      </w:r>
      <w:r>
        <w:rPr>
          <w:rFonts w:hint="eastAsia" w:cs="Times New Roman"/>
          <w:color w:val="auto"/>
          <w:highlight w:val="none"/>
          <w:lang w:eastAsia="zh-CN"/>
        </w:rPr>
        <w:t>。</w:t>
      </w:r>
    </w:p>
    <w:p>
      <w:pPr>
        <w:pStyle w:val="4"/>
        <w:rPr>
          <w:rFonts w:hint="default" w:ascii="Times New Roman" w:hAnsi="Times New Roman" w:eastAsia="宋体" w:cs="Times New Roman"/>
          <w:b w:val="0"/>
          <w:color w:val="auto"/>
          <w:kern w:val="2"/>
          <w:sz w:val="24"/>
          <w:szCs w:val="24"/>
          <w:highlight w:val="none"/>
          <w:lang w:val="en-US" w:eastAsia="zh-CN" w:bidi="ar-SA"/>
        </w:rPr>
      </w:pPr>
      <w:r>
        <w:rPr>
          <w:rFonts w:hint="eastAsia" w:ascii="Times New Roman" w:hAnsi="Times New Roman" w:eastAsia="宋体" w:cs="Times New Roman"/>
          <w:b w:val="0"/>
          <w:color w:val="auto"/>
          <w:kern w:val="2"/>
          <w:sz w:val="24"/>
          <w:szCs w:val="24"/>
          <w:highlight w:val="none"/>
          <w:lang w:val="en-US" w:eastAsia="zh-CN" w:bidi="ar-SA"/>
        </w:rPr>
        <w:t>本项目</w:t>
      </w:r>
      <w:r>
        <w:rPr>
          <w:rFonts w:hint="default" w:ascii="Times New Roman" w:hAnsi="Times New Roman" w:eastAsia="宋体" w:cs="Times New Roman"/>
          <w:b w:val="0"/>
          <w:color w:val="auto"/>
          <w:kern w:val="2"/>
          <w:sz w:val="24"/>
          <w:szCs w:val="24"/>
          <w:highlight w:val="none"/>
          <w:lang w:val="en-US" w:eastAsia="zh-CN" w:bidi="ar-SA"/>
        </w:rPr>
        <w:t>采集的所有土壤样品由河北百润环境检测技术有限公司实验室（CMA资质）进行检测分析，并提供了全部检测样品的检测报告</w:t>
      </w:r>
      <w:r>
        <w:rPr>
          <w:rFonts w:hint="eastAsia" w:ascii="Times New Roman" w:hAnsi="Times New Roman" w:eastAsia="宋体" w:cs="Times New Roman"/>
          <w:b w:val="0"/>
          <w:color w:val="auto"/>
          <w:kern w:val="2"/>
          <w:sz w:val="24"/>
          <w:szCs w:val="24"/>
          <w:highlight w:val="none"/>
          <w:lang w:val="en-US" w:eastAsia="zh-CN" w:bidi="ar-SA"/>
        </w:rPr>
        <w:t>及质控报告</w:t>
      </w:r>
      <w:r>
        <w:rPr>
          <w:rFonts w:hint="default" w:ascii="Times New Roman" w:hAnsi="Times New Roman" w:eastAsia="宋体" w:cs="Times New Roman"/>
          <w:b w:val="0"/>
          <w:color w:val="auto"/>
          <w:kern w:val="2"/>
          <w:sz w:val="24"/>
          <w:szCs w:val="24"/>
          <w:highlight w:val="none"/>
          <w:lang w:val="en-US" w:eastAsia="zh-CN" w:bidi="ar-SA"/>
        </w:rPr>
        <w:t>。</w:t>
      </w:r>
    </w:p>
    <w:p>
      <w:pPr>
        <w:pStyle w:val="4"/>
        <w:rPr>
          <w:rFonts w:hint="default" w:ascii="Times New Roman" w:hAnsi="Times New Roman" w:cs="Times New Roman"/>
          <w:highlight w:val="none"/>
        </w:rPr>
      </w:pPr>
      <w:bookmarkStart w:id="8" w:name="_Toc18873"/>
      <w:bookmarkStart w:id="9" w:name="_Toc21994"/>
      <w:bookmarkStart w:id="10" w:name="_Toc10607"/>
      <w:bookmarkStart w:id="11" w:name="_Toc1129"/>
      <w:bookmarkStart w:id="12" w:name="_Toc16732"/>
      <w:bookmarkStart w:id="13" w:name="_Toc24420"/>
      <w:bookmarkStart w:id="14" w:name="_Toc24959"/>
      <w:r>
        <w:rPr>
          <w:rFonts w:hint="default" w:ascii="Times New Roman" w:hAnsi="Times New Roman" w:cs="Times New Roman"/>
          <w:highlight w:val="none"/>
        </w:rPr>
        <w:t>3 检测结果分析</w:t>
      </w:r>
      <w:bookmarkEnd w:id="8"/>
      <w:bookmarkEnd w:id="9"/>
      <w:bookmarkEnd w:id="10"/>
      <w:bookmarkEnd w:id="11"/>
      <w:bookmarkEnd w:id="12"/>
      <w:bookmarkEnd w:id="13"/>
      <w:bookmarkEnd w:id="14"/>
    </w:p>
    <w:p>
      <w:pPr>
        <w:keepNext w:val="0"/>
        <w:keepLines w:val="0"/>
        <w:pageBreakBefore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highlight w:val="none"/>
          <w:lang w:eastAsia="zh-CN"/>
        </w:rPr>
      </w:pPr>
      <w:bookmarkStart w:id="15" w:name="_Toc6316"/>
      <w:bookmarkStart w:id="16" w:name="_Toc26351"/>
      <w:bookmarkStart w:id="17" w:name="_Toc16526"/>
      <w:bookmarkStart w:id="18" w:name="_Toc27064"/>
      <w:bookmarkStart w:id="19" w:name="_Toc10124"/>
      <w:bookmarkStart w:id="20" w:name="_Toc1746"/>
      <w:bookmarkStart w:id="21" w:name="_Toc21868"/>
      <w:bookmarkStart w:id="22" w:name="_Toc15050"/>
      <w:r>
        <w:t>根据对本项目地块土壤样品检测结果的分析统计，</w:t>
      </w:r>
      <w:r>
        <w:rPr>
          <w:kern w:val="2"/>
        </w:rPr>
        <w:t>本项目地块内土壤样品中有检出的因子：pH、砷、镉、铜、铅、汞、镍、氨氮，</w:t>
      </w:r>
      <w:r>
        <w:t>各因子的最大检出浓度均未超过本次地块土壤污染环境调查所选用的筛选值</w:t>
      </w:r>
      <w:r>
        <w:rPr>
          <w:rFonts w:hint="eastAsia"/>
        </w:rPr>
        <w:t>；</w:t>
      </w:r>
      <w:r>
        <w:t>测定的</w:t>
      </w:r>
      <w:r>
        <w:rPr>
          <w:rFonts w:hint="eastAsia"/>
        </w:rPr>
        <w:t>六价铬</w:t>
      </w:r>
      <w:r>
        <w:t>、</w:t>
      </w:r>
      <w:r>
        <w:rPr>
          <w:rFonts w:hint="eastAsia"/>
        </w:rPr>
        <w:t>甲醛、TPH、</w:t>
      </w:r>
      <w:r>
        <w:t>PCBs</w:t>
      </w:r>
      <w:r>
        <w:rPr>
          <w:rFonts w:hint="eastAsia"/>
        </w:rPr>
        <w:t>、</w:t>
      </w:r>
      <w:r>
        <w:t>VOCs、SVOCs所有样品均未检出</w:t>
      </w:r>
      <w:r>
        <w:rPr>
          <w:rFonts w:hint="default" w:ascii="Times New Roman" w:hAnsi="Times New Roman" w:eastAsia="宋体" w:cs="Times New Roman"/>
          <w:color w:val="auto"/>
          <w:highlight w:val="none"/>
          <w:lang w:eastAsia="zh-CN"/>
        </w:rPr>
        <w:t>。</w:t>
      </w:r>
    </w:p>
    <w:p>
      <w:pPr>
        <w:pStyle w:val="4"/>
        <w:rPr>
          <w:rFonts w:hint="default" w:ascii="Times New Roman" w:hAnsi="Times New Roman" w:cs="Times New Roman"/>
          <w:highlight w:val="none"/>
        </w:rPr>
      </w:pPr>
      <w:r>
        <w:rPr>
          <w:rFonts w:hint="default" w:ascii="Times New Roman" w:hAnsi="Times New Roman" w:cs="Times New Roman"/>
          <w:highlight w:val="none"/>
        </w:rPr>
        <w:t>4 调查结论</w:t>
      </w:r>
      <w:bookmarkEnd w:id="15"/>
      <w:bookmarkEnd w:id="16"/>
      <w:bookmarkEnd w:id="17"/>
      <w:bookmarkEnd w:id="18"/>
      <w:bookmarkEnd w:id="19"/>
      <w:bookmarkEnd w:id="20"/>
      <w:bookmarkEnd w:id="21"/>
      <w:bookmarkEnd w:id="22"/>
    </w:p>
    <w:p>
      <w:pPr>
        <w:ind w:firstLine="480"/>
        <w:rPr>
          <w:kern w:val="2"/>
        </w:rPr>
      </w:pPr>
      <w:r>
        <w:rPr>
          <w:kern w:val="2"/>
        </w:rPr>
        <w:t>根据</w:t>
      </w:r>
      <w:r>
        <w:rPr>
          <w:rFonts w:hint="eastAsia"/>
        </w:rPr>
        <w:t>本项目土壤</w:t>
      </w:r>
      <w:r>
        <w:rPr>
          <w:kern w:val="2"/>
        </w:rPr>
        <w:t>检测报告统计分析结果，本地块不属于污染地块，</w:t>
      </w:r>
      <w:r>
        <w:t>根据《建设用地土壤污染调查技术导则》（HJ 25.1-2019），本地块调查工作到该阶段（</w:t>
      </w:r>
      <w:r>
        <w:rPr>
          <w:rFonts w:hint="eastAsia"/>
        </w:rPr>
        <w:t>初步采样分析阶段</w:t>
      </w:r>
      <w:r>
        <w:t>）结束</w:t>
      </w:r>
      <w:r>
        <w:rPr>
          <w:rFonts w:hint="eastAsia"/>
        </w:rPr>
        <w:t>，</w:t>
      </w:r>
      <w:r>
        <w:t>因此无需启动详细采样分析及第三阶段土壤污染状况调查工作</w:t>
      </w:r>
      <w:r>
        <w:rPr>
          <w:kern w:val="2"/>
        </w:rPr>
        <w:t>。</w:t>
      </w:r>
    </w:p>
    <w:p>
      <w:pPr>
        <w:rPr>
          <w:highlight w:val="yellow"/>
        </w:rPr>
      </w:pPr>
      <w:r>
        <w:t>该地块用地性质</w:t>
      </w:r>
      <w:r>
        <w:rPr>
          <w:rFonts w:hint="eastAsia"/>
        </w:rPr>
        <w:t>拟</w:t>
      </w:r>
      <w:r>
        <w:t>规划为居住用地，地块按照《土壤环境质量 建设用地土壤污染风险管控标准（试行）》（GB 36600-2018）中的第一类用地进行评价，</w:t>
      </w:r>
      <w:r>
        <w:rPr>
          <w:kern w:val="2"/>
        </w:rPr>
        <w:t>根据监测结果分析，本地块达到</w:t>
      </w:r>
      <w:r>
        <w:t>一类用地</w:t>
      </w:r>
      <w:r>
        <w:rPr>
          <w:kern w:val="2"/>
        </w:rPr>
        <w:t>标准，因此本地块</w:t>
      </w:r>
      <w:r>
        <w:t>可作为居住用地安全利用。</w:t>
      </w:r>
      <w:bookmarkStart w:id="23" w:name="_GoBack"/>
      <w:bookmarkEnd w:id="23"/>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587069"/>
    <w:rsid w:val="08992B09"/>
    <w:rsid w:val="40587069"/>
    <w:rsid w:val="54EB5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4">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3">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5">
    <w:name w:val="Body Text"/>
    <w:basedOn w:val="1"/>
    <w:qFormat/>
    <w:uiPriority w:val="0"/>
    <w:pPr>
      <w:snapToGrid w:val="0"/>
      <w:jc w:val="center"/>
    </w:pPr>
    <w:rPr>
      <w:rFonts w:ascii="Arial" w:hAnsi="Arial"/>
      <w:sz w:val="24"/>
      <w:szCs w:val="20"/>
    </w:rPr>
  </w:style>
  <w:style w:type="paragraph" w:styleId="6">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2021-07-16T03:18:33Z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D7D13A13AEEA46C4872BBF5652CD45CF</vt:lpwstr>
  </property>
</Properties>
</file>