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topLinePunct/>
        <w:spacing w:line="1000" w:lineRule="exact"/>
        <w:ind w:firstLine="0" w:firstLineChars="0"/>
        <w:rPr>
          <w:rFonts w:hint="eastAsia" w:ascii="Times New Roman" w:hAnsi="Times New Roman" w:cs="Times New Roman"/>
          <w:b/>
          <w:bCs/>
          <w:color w:val="000000" w:themeColor="text1"/>
          <w:spacing w:val="20"/>
          <w:sz w:val="40"/>
          <w:szCs w:val="40"/>
          <w:lang w:eastAsia="zh-CN"/>
          <w14:textFill>
            <w14:solidFill>
              <w14:schemeClr w14:val="tx1"/>
            </w14:solidFill>
          </w14:textFill>
        </w:rPr>
      </w:pPr>
    </w:p>
    <w:p>
      <w:pPr>
        <w:pStyle w:val="6"/>
        <w:topLinePunct/>
        <w:spacing w:line="1000" w:lineRule="exact"/>
        <w:ind w:firstLine="0" w:firstLineChars="0"/>
        <w:rPr>
          <w:rFonts w:hint="default" w:ascii="Times New Roman" w:hAnsi="Times New Roman" w:cs="Times New Roman"/>
          <w:b/>
          <w:bCs/>
          <w:color w:val="000000" w:themeColor="text1"/>
          <w:spacing w:val="20"/>
          <w:sz w:val="40"/>
          <w:szCs w:val="40"/>
          <w14:textFill>
            <w14:solidFill>
              <w14:schemeClr w14:val="tx1"/>
            </w14:solidFill>
          </w14:textFill>
        </w:rPr>
      </w:pPr>
      <w:bookmarkStart w:id="33" w:name="_GoBack"/>
      <w:r>
        <w:rPr>
          <w:rFonts w:hint="eastAsia" w:ascii="Times New Roman" w:hAnsi="Times New Roman" w:cs="Times New Roman"/>
          <w:b/>
          <w:bCs/>
          <w:color w:val="000000" w:themeColor="text1"/>
          <w:spacing w:val="20"/>
          <w:sz w:val="40"/>
          <w:szCs w:val="40"/>
          <w:lang w:eastAsia="zh-CN"/>
          <w14:textFill>
            <w14:solidFill>
              <w14:schemeClr w14:val="tx1"/>
            </w14:solidFill>
          </w14:textFill>
        </w:rPr>
        <w:t>沧县鑫成福利化工配装厂一分厂</w:t>
      </w:r>
      <w:r>
        <w:rPr>
          <w:rFonts w:hint="default" w:ascii="Times New Roman" w:hAnsi="Times New Roman" w:cs="Times New Roman"/>
          <w:b/>
          <w:bCs/>
          <w:color w:val="000000" w:themeColor="text1"/>
          <w:spacing w:val="20"/>
          <w:sz w:val="40"/>
          <w:szCs w:val="40"/>
          <w14:textFill>
            <w14:solidFill>
              <w14:schemeClr w14:val="tx1"/>
            </w14:solidFill>
          </w14:textFill>
        </w:rPr>
        <w:t>地块</w:t>
      </w:r>
    </w:p>
    <w:p>
      <w:pPr>
        <w:pStyle w:val="6"/>
        <w:topLinePunct/>
        <w:spacing w:line="1000" w:lineRule="exact"/>
        <w:ind w:firstLine="0" w:firstLineChars="0"/>
        <w:rPr>
          <w:rFonts w:hint="default" w:ascii="Times New Roman" w:hAnsi="Times New Roman" w:cs="Times New Roman"/>
          <w:b/>
          <w:color w:val="000000" w:themeColor="text1"/>
          <w:spacing w:val="20"/>
          <w:sz w:val="72"/>
          <w:szCs w:val="72"/>
          <w14:textFill>
            <w14:solidFill>
              <w14:schemeClr w14:val="tx1"/>
            </w14:solidFill>
          </w14:textFill>
        </w:rPr>
      </w:pPr>
      <w:r>
        <w:rPr>
          <w:rFonts w:hint="default" w:ascii="Times New Roman" w:hAnsi="Times New Roman" w:cs="Times New Roman"/>
          <w:b/>
          <w:bCs/>
          <w:color w:val="000000" w:themeColor="text1"/>
          <w:spacing w:val="20"/>
          <w:sz w:val="72"/>
          <w:szCs w:val="72"/>
          <w14:textFill>
            <w14:solidFill>
              <w14:schemeClr w14:val="tx1"/>
            </w14:solidFill>
          </w14:textFill>
        </w:rPr>
        <w:t>土壤污染状况调查报告</w:t>
      </w:r>
      <w:bookmarkEnd w:id="33"/>
    </w:p>
    <w:p>
      <w:pPr>
        <w:tabs>
          <w:tab w:val="left" w:pos="3456"/>
        </w:tabs>
        <w:spacing w:before="240" w:beforeLines="100" w:line="240" w:lineRule="auto"/>
        <w:ind w:firstLine="0" w:firstLineChars="0"/>
        <w:jc w:val="center"/>
        <w:rPr>
          <w:rFonts w:hint="default" w:ascii="Times New Roman" w:hAnsi="Times New Roman" w:cs="Times New Roman"/>
          <w:b/>
          <w:bCs/>
          <w:color w:val="000000" w:themeColor="text1"/>
          <w:sz w:val="36"/>
          <w:szCs w:val="36"/>
          <w14:textFill>
            <w14:solidFill>
              <w14:schemeClr w14:val="tx1"/>
            </w14:solidFill>
          </w14:textFill>
        </w:rPr>
      </w:pPr>
      <w:r>
        <w:rPr>
          <w:rFonts w:hint="default" w:ascii="Times New Roman" w:hAnsi="Times New Roman" w:cs="Times New Roman"/>
          <w:b/>
          <w:bCs/>
          <w:color w:val="000000" w:themeColor="text1"/>
          <w:sz w:val="36"/>
          <w:szCs w:val="36"/>
          <w14:textFill>
            <w14:solidFill>
              <w14:schemeClr w14:val="tx1"/>
            </w14:solidFill>
          </w14:textFill>
        </w:rPr>
        <w:t>（</w:t>
      </w:r>
      <w:r>
        <w:rPr>
          <w:rFonts w:hint="eastAsia" w:cs="Times New Roman"/>
          <w:b/>
          <w:bCs/>
          <w:color w:val="000000" w:themeColor="text1"/>
          <w:sz w:val="36"/>
          <w:szCs w:val="36"/>
          <w:lang w:eastAsia="zh-CN"/>
          <w14:textFill>
            <w14:solidFill>
              <w14:schemeClr w14:val="tx1"/>
            </w14:solidFill>
          </w14:textFill>
        </w:rPr>
        <w:t>公示本</w:t>
      </w:r>
      <w:r>
        <w:rPr>
          <w:rFonts w:hint="default" w:ascii="Times New Roman" w:hAnsi="Times New Roman" w:cs="Times New Roman"/>
          <w:b/>
          <w:bCs/>
          <w:color w:val="000000" w:themeColor="text1"/>
          <w:sz w:val="36"/>
          <w:szCs w:val="36"/>
          <w14:textFill>
            <w14:solidFill>
              <w14:schemeClr w14:val="tx1"/>
            </w14:solidFill>
          </w14:textFill>
        </w:rPr>
        <w:t>）</w:t>
      </w:r>
    </w:p>
    <w:p>
      <w:pPr>
        <w:ind w:firstLine="480"/>
        <w:rPr>
          <w:rFonts w:hint="default" w:ascii="Times New Roman" w:hAnsi="Times New Roman" w:cs="Times New Roman"/>
          <w:color w:val="000000" w:themeColor="text1"/>
          <w14:textFill>
            <w14:solidFill>
              <w14:schemeClr w14:val="tx1"/>
            </w14:solidFill>
          </w14:textFill>
        </w:rPr>
      </w:pPr>
    </w:p>
    <w:p>
      <w:pPr>
        <w:pStyle w:val="2"/>
        <w:ind w:firstLine="480"/>
        <w:rPr>
          <w:rFonts w:hint="default" w:ascii="Times New Roman" w:hAnsi="Times New Roman" w:cs="Times New Roman"/>
          <w:color w:val="000000" w:themeColor="text1"/>
          <w14:textFill>
            <w14:solidFill>
              <w14:schemeClr w14:val="tx1"/>
            </w14:solidFill>
          </w14:textFill>
        </w:rPr>
      </w:pPr>
    </w:p>
    <w:p>
      <w:pPr>
        <w:ind w:firstLine="480"/>
        <w:rPr>
          <w:rFonts w:hint="default" w:ascii="Times New Roman" w:hAnsi="Times New Roman" w:cs="Times New Roman"/>
          <w:color w:val="000000" w:themeColor="text1"/>
          <w14:textFill>
            <w14:solidFill>
              <w14:schemeClr w14:val="tx1"/>
            </w14:solidFill>
          </w14:textFill>
        </w:rPr>
      </w:pPr>
    </w:p>
    <w:p>
      <w:pPr>
        <w:pStyle w:val="8"/>
        <w:widowControl w:val="0"/>
        <w:topLinePunct/>
        <w:snapToGrid w:val="0"/>
        <w:spacing w:before="0" w:beforeAutospacing="0" w:after="0" w:afterAutospacing="0" w:line="360" w:lineRule="auto"/>
        <w:ind w:firstLine="1108" w:firstLineChars="345"/>
        <w:jc w:val="both"/>
        <w:rPr>
          <w:rFonts w:hint="default" w:ascii="Times New Roman" w:hAnsi="Times New Roman" w:cs="Times New Roman"/>
          <w:b/>
          <w:color w:val="000000" w:themeColor="text1"/>
          <w:kern w:val="2"/>
          <w:sz w:val="32"/>
          <w:szCs w:val="32"/>
          <w14:textFill>
            <w14:solidFill>
              <w14:schemeClr w14:val="tx1"/>
            </w14:solidFill>
          </w14:textFill>
        </w:rPr>
      </w:pPr>
    </w:p>
    <w:p>
      <w:pPr>
        <w:pStyle w:val="8"/>
        <w:widowControl w:val="0"/>
        <w:topLinePunct/>
        <w:snapToGrid w:val="0"/>
        <w:spacing w:before="0" w:beforeAutospacing="0" w:after="0" w:afterAutospacing="0" w:line="360" w:lineRule="auto"/>
        <w:ind w:firstLine="1108" w:firstLineChars="345"/>
        <w:jc w:val="both"/>
        <w:rPr>
          <w:rFonts w:hint="default" w:ascii="Times New Roman" w:hAnsi="Times New Roman" w:cs="Times New Roman"/>
          <w:b/>
          <w:color w:val="000000" w:themeColor="text1"/>
          <w:kern w:val="2"/>
          <w:sz w:val="32"/>
          <w:szCs w:val="32"/>
          <w14:textFill>
            <w14:solidFill>
              <w14:schemeClr w14:val="tx1"/>
            </w14:solidFill>
          </w14:textFill>
        </w:rPr>
      </w:pPr>
    </w:p>
    <w:p>
      <w:pPr>
        <w:pStyle w:val="8"/>
        <w:widowControl w:val="0"/>
        <w:topLinePunct/>
        <w:snapToGrid w:val="0"/>
        <w:spacing w:before="0" w:beforeAutospacing="0" w:after="0" w:afterAutospacing="0" w:line="360" w:lineRule="auto"/>
        <w:ind w:firstLine="1108" w:firstLineChars="345"/>
        <w:jc w:val="both"/>
        <w:rPr>
          <w:rFonts w:hint="default" w:ascii="Times New Roman" w:hAnsi="Times New Roman" w:cs="Times New Roman"/>
          <w:b/>
          <w:color w:val="000000" w:themeColor="text1"/>
          <w:kern w:val="2"/>
          <w:sz w:val="32"/>
          <w:szCs w:val="32"/>
          <w14:textFill>
            <w14:solidFill>
              <w14:schemeClr w14:val="tx1"/>
            </w14:solidFill>
          </w14:textFill>
        </w:rPr>
      </w:pPr>
    </w:p>
    <w:p>
      <w:pPr>
        <w:pStyle w:val="8"/>
        <w:widowControl w:val="0"/>
        <w:topLinePunct/>
        <w:snapToGrid w:val="0"/>
        <w:spacing w:before="0" w:beforeAutospacing="0" w:after="0" w:afterAutospacing="0" w:line="360" w:lineRule="auto"/>
        <w:ind w:firstLine="1108" w:firstLineChars="345"/>
        <w:jc w:val="both"/>
        <w:rPr>
          <w:rFonts w:hint="default" w:ascii="Times New Roman" w:hAnsi="Times New Roman" w:cs="Times New Roman"/>
          <w:b/>
          <w:color w:val="000000" w:themeColor="text1"/>
          <w:kern w:val="2"/>
          <w:sz w:val="32"/>
          <w:szCs w:val="32"/>
          <w14:textFill>
            <w14:solidFill>
              <w14:schemeClr w14:val="tx1"/>
            </w14:solidFill>
          </w14:textFill>
        </w:rPr>
      </w:pPr>
    </w:p>
    <w:p>
      <w:pPr>
        <w:pStyle w:val="8"/>
        <w:widowControl w:val="0"/>
        <w:topLinePunct/>
        <w:snapToGrid w:val="0"/>
        <w:spacing w:before="0" w:beforeAutospacing="0" w:after="0" w:afterAutospacing="0" w:line="360" w:lineRule="auto"/>
        <w:ind w:firstLine="1108" w:firstLineChars="345"/>
        <w:jc w:val="both"/>
        <w:rPr>
          <w:rFonts w:hint="default" w:ascii="Times New Roman" w:hAnsi="Times New Roman" w:cs="Times New Roman"/>
          <w:b/>
          <w:color w:val="000000" w:themeColor="text1"/>
          <w:kern w:val="2"/>
          <w:sz w:val="32"/>
          <w:szCs w:val="32"/>
          <w14:textFill>
            <w14:solidFill>
              <w14:schemeClr w14:val="tx1"/>
            </w14:solidFill>
          </w14:textFill>
        </w:rPr>
      </w:pPr>
    </w:p>
    <w:p>
      <w:pPr>
        <w:pStyle w:val="8"/>
        <w:widowControl w:val="0"/>
        <w:topLinePunct/>
        <w:snapToGrid w:val="0"/>
        <w:spacing w:before="0" w:beforeAutospacing="0" w:after="0" w:afterAutospacing="0" w:line="360" w:lineRule="auto"/>
        <w:ind w:firstLine="1108" w:firstLineChars="345"/>
        <w:jc w:val="both"/>
        <w:rPr>
          <w:rFonts w:hint="default" w:ascii="Times New Roman" w:hAnsi="Times New Roman" w:cs="Times New Roman"/>
          <w:b/>
          <w:color w:val="000000" w:themeColor="text1"/>
          <w:kern w:val="2"/>
          <w:sz w:val="32"/>
          <w:szCs w:val="32"/>
          <w14:textFill>
            <w14:solidFill>
              <w14:schemeClr w14:val="tx1"/>
            </w14:solidFill>
          </w14:textFill>
        </w:rPr>
      </w:pPr>
    </w:p>
    <w:p>
      <w:pPr>
        <w:pStyle w:val="8"/>
        <w:widowControl w:val="0"/>
        <w:topLinePunct/>
        <w:snapToGrid w:val="0"/>
        <w:spacing w:before="0" w:beforeAutospacing="0" w:after="0" w:afterAutospacing="0" w:line="360" w:lineRule="auto"/>
        <w:ind w:firstLine="1108" w:firstLineChars="345"/>
        <w:jc w:val="both"/>
        <w:rPr>
          <w:rFonts w:hint="default" w:ascii="Times New Roman" w:hAnsi="Times New Roman" w:cs="Times New Roman"/>
          <w:b/>
          <w:color w:val="000000" w:themeColor="text1"/>
          <w:kern w:val="2"/>
          <w:sz w:val="32"/>
          <w:szCs w:val="32"/>
          <w14:textFill>
            <w14:solidFill>
              <w14:schemeClr w14:val="tx1"/>
            </w14:solidFill>
          </w14:textFill>
        </w:rPr>
      </w:pPr>
    </w:p>
    <w:p>
      <w:pPr>
        <w:pStyle w:val="8"/>
        <w:widowControl w:val="0"/>
        <w:topLinePunct/>
        <w:snapToGrid w:val="0"/>
        <w:spacing w:before="0" w:beforeAutospacing="0" w:after="0" w:afterAutospacing="0" w:line="360" w:lineRule="auto"/>
        <w:ind w:firstLine="1108" w:firstLineChars="345"/>
        <w:jc w:val="both"/>
        <w:rPr>
          <w:rFonts w:hint="default" w:ascii="Times New Roman" w:hAnsi="Times New Roman" w:cs="Times New Roman"/>
          <w:b/>
          <w:color w:val="000000" w:themeColor="text1"/>
          <w:kern w:val="2"/>
          <w:sz w:val="32"/>
          <w:szCs w:val="32"/>
          <w14:textFill>
            <w14:solidFill>
              <w14:schemeClr w14:val="tx1"/>
            </w14:solidFill>
          </w14:textFill>
        </w:rPr>
      </w:pPr>
    </w:p>
    <w:p>
      <w:pPr>
        <w:pStyle w:val="8"/>
        <w:widowControl w:val="0"/>
        <w:topLinePunct/>
        <w:snapToGrid w:val="0"/>
        <w:spacing w:before="0" w:beforeAutospacing="0" w:after="0" w:afterAutospacing="0" w:line="360" w:lineRule="auto"/>
        <w:ind w:firstLine="1108" w:firstLineChars="345"/>
        <w:jc w:val="both"/>
        <w:rPr>
          <w:rFonts w:hint="default" w:ascii="Times New Roman" w:hAnsi="Times New Roman" w:cs="Times New Roman"/>
          <w:b/>
          <w:color w:val="000000" w:themeColor="text1"/>
          <w:kern w:val="2"/>
          <w:sz w:val="32"/>
          <w:szCs w:val="32"/>
          <w14:textFill>
            <w14:solidFill>
              <w14:schemeClr w14:val="tx1"/>
            </w14:solidFill>
          </w14:textFill>
        </w:rPr>
      </w:pPr>
    </w:p>
    <w:p>
      <w:pPr>
        <w:pStyle w:val="8"/>
        <w:widowControl w:val="0"/>
        <w:topLinePunct/>
        <w:snapToGrid w:val="0"/>
        <w:spacing w:before="0" w:beforeAutospacing="0" w:after="0" w:afterAutospacing="0" w:line="360" w:lineRule="auto"/>
        <w:ind w:firstLine="1084" w:firstLineChars="300"/>
        <w:rPr>
          <w:rFonts w:hint="default" w:ascii="Times New Roman" w:hAnsi="Times New Roman" w:cs="Times New Roman"/>
          <w:b/>
          <w:color w:val="000000" w:themeColor="text1"/>
          <w:kern w:val="2"/>
          <w:sz w:val="36"/>
          <w:szCs w:val="36"/>
          <w14:textFill>
            <w14:solidFill>
              <w14:schemeClr w14:val="tx1"/>
            </w14:solidFill>
          </w14:textFill>
        </w:rPr>
      </w:pPr>
      <w:r>
        <w:rPr>
          <w:rFonts w:hint="default" w:ascii="Times New Roman" w:hAnsi="Times New Roman" w:cs="Times New Roman"/>
          <w:b/>
          <w:color w:val="000000" w:themeColor="text1"/>
          <w:kern w:val="2"/>
          <w:sz w:val="36"/>
          <w:szCs w:val="36"/>
          <w14:textFill>
            <w14:solidFill>
              <w14:schemeClr w14:val="tx1"/>
            </w14:solidFill>
          </w14:textFill>
        </w:rPr>
        <w:t>委托单位：</w:t>
      </w:r>
      <w:r>
        <w:rPr>
          <w:rFonts w:hint="eastAsia" w:ascii="Times New Roman" w:hAnsi="Times New Roman" w:cs="Times New Roman"/>
          <w:b/>
          <w:color w:val="000000" w:themeColor="text1"/>
          <w:kern w:val="2"/>
          <w:sz w:val="36"/>
          <w:szCs w:val="36"/>
          <w:lang w:eastAsia="zh-CN"/>
          <w14:textFill>
            <w14:solidFill>
              <w14:schemeClr w14:val="tx1"/>
            </w14:solidFill>
          </w14:textFill>
        </w:rPr>
        <w:t>沧县</w:t>
      </w:r>
      <w:r>
        <w:rPr>
          <w:rFonts w:hint="default" w:ascii="Times New Roman" w:hAnsi="Times New Roman" w:cs="Times New Roman"/>
          <w:b/>
          <w:color w:val="000000" w:themeColor="text1"/>
          <w:kern w:val="2"/>
          <w:sz w:val="36"/>
          <w:szCs w:val="36"/>
          <w14:textFill>
            <w14:solidFill>
              <w14:schemeClr w14:val="tx1"/>
            </w14:solidFill>
          </w14:textFill>
        </w:rPr>
        <w:t>张官屯乡人民政府</w:t>
      </w:r>
    </w:p>
    <w:p>
      <w:pPr>
        <w:pStyle w:val="8"/>
        <w:widowControl w:val="0"/>
        <w:topLinePunct/>
        <w:snapToGrid w:val="0"/>
        <w:spacing w:before="0" w:beforeAutospacing="0" w:after="0" w:afterAutospacing="0" w:line="360" w:lineRule="auto"/>
        <w:ind w:firstLine="1084" w:firstLineChars="300"/>
        <w:jc w:val="both"/>
        <w:rPr>
          <w:rFonts w:hint="default" w:ascii="Times New Roman" w:hAnsi="Times New Roman" w:cs="Times New Roman"/>
          <w:b/>
          <w:color w:val="000000" w:themeColor="text1"/>
          <w:kern w:val="2"/>
          <w:sz w:val="36"/>
          <w:szCs w:val="36"/>
          <w14:textFill>
            <w14:solidFill>
              <w14:schemeClr w14:val="tx1"/>
            </w14:solidFill>
          </w14:textFill>
        </w:rPr>
      </w:pPr>
      <w:r>
        <w:rPr>
          <w:rFonts w:hint="default" w:ascii="Times New Roman" w:hAnsi="Times New Roman" w:cs="Times New Roman"/>
          <w:b/>
          <w:color w:val="000000" w:themeColor="text1"/>
          <w:kern w:val="2"/>
          <w:sz w:val="36"/>
          <w:szCs w:val="36"/>
          <w14:textFill>
            <w14:solidFill>
              <w14:schemeClr w14:val="tx1"/>
            </w14:solidFill>
          </w14:textFill>
        </w:rPr>
        <w:t>编制单位：河北靓源环保工程有限公司</w:t>
      </w:r>
    </w:p>
    <w:p>
      <w:pPr>
        <w:pStyle w:val="8"/>
        <w:widowControl w:val="0"/>
        <w:topLinePunct/>
        <w:snapToGrid w:val="0"/>
        <w:spacing w:before="0" w:beforeAutospacing="0" w:after="0" w:afterAutospacing="0" w:line="360" w:lineRule="auto"/>
        <w:ind w:firstLine="1084" w:firstLineChars="300"/>
        <w:jc w:val="both"/>
        <w:rPr>
          <w:rFonts w:hint="default" w:ascii="Times New Roman" w:hAnsi="Times New Roman" w:cs="Times New Roman"/>
          <w:b/>
          <w:color w:val="000000" w:themeColor="text1"/>
          <w:kern w:val="2"/>
          <w:sz w:val="36"/>
          <w:szCs w:val="36"/>
          <w14:textFill>
            <w14:solidFill>
              <w14:schemeClr w14:val="tx1"/>
            </w14:solidFill>
          </w14:textFill>
        </w:rPr>
        <w:sectPr>
          <w:pgSz w:w="11906" w:h="16838"/>
          <w:pgMar w:top="1440" w:right="1800" w:bottom="1440" w:left="1800" w:header="851" w:footer="992" w:gutter="0"/>
          <w:cols w:space="425" w:num="1"/>
          <w:docGrid w:type="lines" w:linePitch="312" w:charSpace="0"/>
        </w:sectPr>
      </w:pPr>
      <w:r>
        <w:rPr>
          <w:rFonts w:hint="default" w:ascii="Times New Roman" w:hAnsi="Times New Roman" w:cs="Times New Roman"/>
          <w:b/>
          <w:color w:val="000000" w:themeColor="text1"/>
          <w:kern w:val="2"/>
          <w:sz w:val="36"/>
          <w:szCs w:val="36"/>
          <w14:textFill>
            <w14:solidFill>
              <w14:schemeClr w14:val="tx1"/>
            </w14:solidFill>
          </w14:textFill>
        </w:rPr>
        <w:t xml:space="preserve">编制日期：二 〇 二 </w:t>
      </w:r>
      <w:r>
        <w:rPr>
          <w:rFonts w:hint="eastAsia" w:ascii="Times New Roman" w:hAnsi="Times New Roman" w:cs="Times New Roman"/>
          <w:b/>
          <w:color w:val="000000" w:themeColor="text1"/>
          <w:kern w:val="2"/>
          <w:sz w:val="36"/>
          <w:szCs w:val="36"/>
          <w:lang w:eastAsia="zh-CN"/>
          <w14:textFill>
            <w14:solidFill>
              <w14:schemeClr w14:val="tx1"/>
            </w14:solidFill>
          </w14:textFill>
        </w:rPr>
        <w:t>一</w:t>
      </w:r>
      <w:r>
        <w:rPr>
          <w:rFonts w:hint="default" w:ascii="Times New Roman" w:hAnsi="Times New Roman" w:cs="Times New Roman"/>
          <w:b/>
          <w:color w:val="000000" w:themeColor="text1"/>
          <w:kern w:val="2"/>
          <w:sz w:val="36"/>
          <w:szCs w:val="36"/>
          <w14:textFill>
            <w14:solidFill>
              <w14:schemeClr w14:val="tx1"/>
            </w14:solidFill>
          </w14:textFill>
        </w:rPr>
        <w:t xml:space="preserve"> 年 </w:t>
      </w:r>
      <w:r>
        <w:rPr>
          <w:rFonts w:hint="eastAsia" w:ascii="Times New Roman" w:hAnsi="Times New Roman" w:cs="Times New Roman"/>
          <w:b/>
          <w:color w:val="000000" w:themeColor="text1"/>
          <w:kern w:val="2"/>
          <w:sz w:val="36"/>
          <w:szCs w:val="36"/>
          <w:lang w:eastAsia="zh-CN"/>
          <w14:textFill>
            <w14:solidFill>
              <w14:schemeClr w14:val="tx1"/>
            </w14:solidFill>
          </w14:textFill>
        </w:rPr>
        <w:t>一</w:t>
      </w:r>
      <w:r>
        <w:rPr>
          <w:rFonts w:hint="default" w:ascii="Times New Roman" w:hAnsi="Times New Roman" w:cs="Times New Roman"/>
          <w:b/>
          <w:color w:val="000000" w:themeColor="text1"/>
          <w:kern w:val="2"/>
          <w:sz w:val="36"/>
          <w:szCs w:val="36"/>
          <w14:textFill>
            <w14:solidFill>
              <w14:schemeClr w14:val="tx1"/>
            </w14:solidFill>
          </w14:textFill>
        </w:rPr>
        <w:t xml:space="preserve"> 月</w:t>
      </w:r>
    </w:p>
    <w:p>
      <w:pPr>
        <w:pStyle w:val="5"/>
        <w:bidi w:val="0"/>
        <w:rPr>
          <w:rFonts w:hint="eastAsia" w:eastAsia="宋体" w:cs="Times New Roman"/>
          <w:color w:val="000000" w:themeColor="text1"/>
          <w:lang w:val="en-US" w:eastAsia="zh-CN"/>
          <w14:textFill>
            <w14:solidFill>
              <w14:schemeClr w14:val="tx1"/>
            </w14:solidFill>
          </w14:textFill>
        </w:rPr>
      </w:pPr>
      <w:bookmarkStart w:id="0" w:name="_Toc12010"/>
      <w:r>
        <w:rPr>
          <w:rFonts w:hint="default" w:cs="Times New Roman"/>
          <w:color w:val="000000" w:themeColor="text1"/>
          <w:lang w:val="en-US" w:eastAsia="zh-CN"/>
          <w14:textFill>
            <w14:solidFill>
              <w14:schemeClr w14:val="tx1"/>
            </w14:solidFill>
          </w14:textFill>
        </w:rPr>
        <w:t xml:space="preserve">1 </w:t>
      </w:r>
      <w:r>
        <w:rPr>
          <w:rFonts w:hint="default" w:cs="Times New Roman"/>
          <w:color w:val="000000" w:themeColor="text1"/>
          <w14:textFill>
            <w14:solidFill>
              <w14:schemeClr w14:val="tx1"/>
            </w14:solidFill>
          </w14:textFill>
        </w:rPr>
        <w:t>地块概况</w:t>
      </w:r>
      <w:bookmarkEnd w:id="0"/>
      <w:r>
        <w:rPr>
          <w:rFonts w:hint="eastAsia" w:cs="Times New Roman"/>
          <w:color w:val="000000" w:themeColor="text1"/>
          <w:lang w:val="en-US" w:eastAsia="zh-CN"/>
          <w14:textFill>
            <w14:solidFill>
              <w14:schemeClr w14:val="tx1"/>
            </w14:solidFill>
          </w14:textFill>
        </w:rPr>
        <w:t xml:space="preserve"> </w:t>
      </w:r>
    </w:p>
    <w:p>
      <w:pPr>
        <w:ind w:firstLine="480"/>
        <w:rPr>
          <w:rFonts w:hint="eastAsia"/>
          <w:color w:val="000000" w:themeColor="text1"/>
          <w:lang w:val="en-US" w:eastAsia="zh-CN"/>
          <w14:textFill>
            <w14:solidFill>
              <w14:schemeClr w14:val="tx1"/>
            </w14:solidFill>
          </w14:textFill>
        </w:rPr>
      </w:pPr>
      <w:bookmarkStart w:id="1" w:name="_Toc23724"/>
      <w:bookmarkStart w:id="2" w:name="_Toc22904"/>
      <w:bookmarkStart w:id="3" w:name="_Toc22861"/>
      <w:r>
        <w:rPr>
          <w:rFonts w:hint="eastAsia"/>
          <w:color w:val="000000" w:themeColor="text1"/>
          <w:highlight w:val="none"/>
          <w:lang w:eastAsia="zh-CN"/>
          <w14:textFill>
            <w14:solidFill>
              <w14:schemeClr w14:val="tx1"/>
            </w14:solidFill>
          </w14:textFill>
        </w:rPr>
        <w:t>沧县鑫成福利化工配装厂一分厂</w:t>
      </w:r>
      <w:r>
        <w:rPr>
          <w:rFonts w:hint="default"/>
          <w:color w:val="000000" w:themeColor="text1"/>
          <w:highlight w:val="none"/>
          <w14:textFill>
            <w14:solidFill>
              <w14:schemeClr w14:val="tx1"/>
            </w14:solidFill>
          </w14:textFill>
        </w:rPr>
        <w:t>地块位于</w:t>
      </w:r>
      <w:r>
        <w:rPr>
          <w:rFonts w:hint="eastAsia"/>
          <w:color w:val="000000" w:themeColor="text1"/>
          <w:highlight w:val="none"/>
          <w:lang w:eastAsia="zh-CN"/>
          <w14:textFill>
            <w14:solidFill>
              <w14:schemeClr w14:val="tx1"/>
            </w14:solidFill>
          </w14:textFill>
        </w:rPr>
        <w:t>河北省沧州市沧县张官屯乡八义庄村东北，</w:t>
      </w:r>
      <w:r>
        <w:rPr>
          <w:rFonts w:hint="eastAsia" w:ascii="Times New Roman" w:hAnsi="Times New Roman" w:cs="Times New Roman"/>
          <w:color w:val="000000" w:themeColor="text1"/>
          <w:sz w:val="24"/>
          <w:szCs w:val="24"/>
          <w:highlight w:val="none"/>
          <w14:textFill>
            <w14:solidFill>
              <w14:schemeClr w14:val="tx1"/>
            </w14:solidFill>
          </w14:textFill>
        </w:rPr>
        <w:t>东</w:t>
      </w:r>
      <w:r>
        <w:rPr>
          <w:rFonts w:hint="eastAsia" w:cs="Times New Roman"/>
          <w:color w:val="000000" w:themeColor="text1"/>
          <w:sz w:val="24"/>
          <w:szCs w:val="24"/>
          <w:highlight w:val="none"/>
          <w:lang w:eastAsia="zh-CN"/>
          <w14:textFill>
            <w14:solidFill>
              <w14:schemeClr w14:val="tx1"/>
            </w14:solidFill>
          </w14:textFill>
        </w:rPr>
        <w:t>至</w:t>
      </w:r>
      <w:r>
        <w:rPr>
          <w:rFonts w:hint="eastAsia"/>
          <w:color w:val="000000" w:themeColor="text1"/>
          <w:highlight w:val="none"/>
          <w:lang w:val="en-US" w:eastAsia="zh-CN"/>
          <w14:textFill>
            <w14:solidFill>
              <w14:schemeClr w14:val="tx1"/>
            </w14:solidFill>
          </w14:textFill>
        </w:rPr>
        <w:t>张官屯乡少儿防溺水教育中心</w:t>
      </w:r>
      <w:r>
        <w:rPr>
          <w:rFonts w:hint="eastAsia" w:cs="Times New Roman"/>
          <w:color w:val="000000" w:themeColor="text1"/>
          <w:sz w:val="24"/>
          <w:szCs w:val="24"/>
          <w:highlight w:val="none"/>
          <w:lang w:eastAsia="zh-CN"/>
          <w14:textFill>
            <w14:solidFill>
              <w14:schemeClr w14:val="tx1"/>
            </w14:solidFill>
          </w14:textFill>
        </w:rPr>
        <w:t>顺泽游泳馆，</w:t>
      </w:r>
      <w:r>
        <w:rPr>
          <w:rFonts w:hint="eastAsia" w:ascii="Times New Roman" w:hAnsi="Times New Roman" w:cs="Times New Roman"/>
          <w:color w:val="000000" w:themeColor="text1"/>
          <w:sz w:val="24"/>
          <w:szCs w:val="24"/>
          <w:highlight w:val="none"/>
          <w14:textFill>
            <w14:solidFill>
              <w14:schemeClr w14:val="tx1"/>
            </w14:solidFill>
          </w14:textFill>
        </w:rPr>
        <w:t>西</w:t>
      </w:r>
      <w:r>
        <w:rPr>
          <w:rFonts w:hint="eastAsia" w:cs="Times New Roman"/>
          <w:color w:val="000000" w:themeColor="text1"/>
          <w:sz w:val="24"/>
          <w:szCs w:val="24"/>
          <w:highlight w:val="none"/>
          <w:lang w:eastAsia="zh-CN"/>
          <w14:textFill>
            <w14:solidFill>
              <w14:schemeClr w14:val="tx1"/>
            </w14:solidFill>
          </w14:textFill>
        </w:rPr>
        <w:t>至</w:t>
      </w:r>
      <w:r>
        <w:rPr>
          <w:rFonts w:hint="eastAsia" w:ascii="Times New Roman" w:hAnsi="Times New Roman" w:cs="Times New Roman"/>
          <w:color w:val="000000" w:themeColor="text1"/>
          <w:sz w:val="24"/>
          <w:szCs w:val="24"/>
          <w:highlight w:val="none"/>
          <w:lang w:eastAsia="zh-CN"/>
          <w14:textFill>
            <w14:solidFill>
              <w14:schemeClr w14:val="tx1"/>
            </w14:solidFill>
          </w14:textFill>
        </w:rPr>
        <w:t>乡村</w:t>
      </w:r>
      <w:r>
        <w:rPr>
          <w:rFonts w:hint="eastAsia" w:cs="Times New Roman"/>
          <w:color w:val="000000" w:themeColor="text1"/>
          <w:sz w:val="24"/>
          <w:szCs w:val="24"/>
          <w:highlight w:val="none"/>
          <w:lang w:eastAsia="zh-CN"/>
          <w14:textFill>
            <w14:solidFill>
              <w14:schemeClr w14:val="tx1"/>
            </w14:solidFill>
          </w14:textFill>
        </w:rPr>
        <w:t>公</w:t>
      </w:r>
      <w:r>
        <w:rPr>
          <w:rFonts w:hint="eastAsia" w:ascii="Times New Roman" w:hAnsi="Times New Roman" w:cs="Times New Roman"/>
          <w:color w:val="000000" w:themeColor="text1"/>
          <w:sz w:val="24"/>
          <w:szCs w:val="24"/>
          <w:highlight w:val="none"/>
          <w:lang w:eastAsia="zh-CN"/>
          <w14:textFill>
            <w14:solidFill>
              <w14:schemeClr w14:val="tx1"/>
            </w14:solidFill>
          </w14:textFill>
        </w:rPr>
        <w:t>路</w:t>
      </w:r>
      <w:r>
        <w:rPr>
          <w:rFonts w:hint="eastAsia" w:cs="Times New Roman"/>
          <w:color w:val="000000" w:themeColor="text1"/>
          <w:sz w:val="24"/>
          <w:szCs w:val="24"/>
          <w:highlight w:val="none"/>
          <w:lang w:eastAsia="zh-CN"/>
          <w14:textFill>
            <w14:solidFill>
              <w14:schemeClr w14:val="tx1"/>
            </w14:solidFill>
          </w14:textFill>
        </w:rPr>
        <w:t>，</w:t>
      </w:r>
      <w:r>
        <w:rPr>
          <w:rFonts w:hint="eastAsia" w:ascii="Times New Roman" w:hAnsi="Times New Roman" w:cs="Times New Roman"/>
          <w:color w:val="000000" w:themeColor="text1"/>
          <w:sz w:val="24"/>
          <w:szCs w:val="24"/>
          <w:highlight w:val="none"/>
          <w14:textFill>
            <w14:solidFill>
              <w14:schemeClr w14:val="tx1"/>
            </w14:solidFill>
          </w14:textFill>
        </w:rPr>
        <w:t>南</w:t>
      </w:r>
      <w:r>
        <w:rPr>
          <w:rFonts w:hint="eastAsia" w:cs="Times New Roman"/>
          <w:color w:val="000000" w:themeColor="text1"/>
          <w:sz w:val="24"/>
          <w:szCs w:val="24"/>
          <w:highlight w:val="none"/>
          <w:lang w:eastAsia="zh-CN"/>
          <w14:textFill>
            <w14:solidFill>
              <w14:schemeClr w14:val="tx1"/>
            </w14:solidFill>
          </w14:textFill>
        </w:rPr>
        <w:t>至</w:t>
      </w:r>
      <w:r>
        <w:rPr>
          <w:rFonts w:hint="eastAsia" w:ascii="Times New Roman" w:hAnsi="Times New Roman" w:cs="Times New Roman"/>
          <w:color w:val="000000" w:themeColor="text1"/>
          <w:sz w:val="24"/>
          <w:szCs w:val="24"/>
          <w:highlight w:val="none"/>
          <w:lang w:eastAsia="zh-CN"/>
          <w14:textFill>
            <w14:solidFill>
              <w14:schemeClr w14:val="tx1"/>
            </w14:solidFill>
          </w14:textFill>
        </w:rPr>
        <w:t>雨水坑</w:t>
      </w:r>
      <w:r>
        <w:rPr>
          <w:rFonts w:hint="eastAsia" w:cs="Times New Roman"/>
          <w:color w:val="000000" w:themeColor="text1"/>
          <w:sz w:val="24"/>
          <w:szCs w:val="24"/>
          <w:highlight w:val="none"/>
          <w:lang w:eastAsia="zh-CN"/>
          <w14:textFill>
            <w14:solidFill>
              <w14:schemeClr w14:val="tx1"/>
            </w14:solidFill>
          </w14:textFill>
        </w:rPr>
        <w:t>，</w:t>
      </w:r>
      <w:r>
        <w:rPr>
          <w:rFonts w:hint="eastAsia" w:ascii="Times New Roman" w:hAnsi="Times New Roman" w:cs="Times New Roman"/>
          <w:color w:val="000000" w:themeColor="text1"/>
          <w:sz w:val="24"/>
          <w:szCs w:val="24"/>
          <w:highlight w:val="none"/>
          <w14:textFill>
            <w14:solidFill>
              <w14:schemeClr w14:val="tx1"/>
            </w14:solidFill>
          </w14:textFill>
        </w:rPr>
        <w:t>北</w:t>
      </w:r>
      <w:r>
        <w:rPr>
          <w:rFonts w:hint="eastAsia" w:cs="Times New Roman"/>
          <w:color w:val="000000" w:themeColor="text1"/>
          <w:sz w:val="24"/>
          <w:szCs w:val="24"/>
          <w:highlight w:val="none"/>
          <w:lang w:eastAsia="zh-CN"/>
          <w14:textFill>
            <w14:solidFill>
              <w14:schemeClr w14:val="tx1"/>
            </w14:solidFill>
          </w14:textFill>
        </w:rPr>
        <w:t>至</w:t>
      </w:r>
      <w:r>
        <w:rPr>
          <w:rFonts w:hint="eastAsia"/>
          <w:color w:val="000000" w:themeColor="text1"/>
          <w:highlight w:val="none"/>
          <w:lang w:eastAsia="zh-CN"/>
          <w14:textFill>
            <w14:solidFill>
              <w14:schemeClr w14:val="tx1"/>
            </w14:solidFill>
          </w14:textFill>
        </w:rPr>
        <w:t>沧县鑫成福利化工配装厂原厂区</w:t>
      </w:r>
      <w:r>
        <w:rPr>
          <w:rFonts w:hint="eastAsia" w:cs="Times New Roman"/>
          <w:color w:val="000000" w:themeColor="text1"/>
          <w:sz w:val="24"/>
          <w:szCs w:val="24"/>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地块占地面积3573.93</w:t>
      </w:r>
      <w:r>
        <w:rPr>
          <w:rFonts w:hint="default" w:ascii="Times New Roman" w:hAnsi="Times New Roman" w:cs="Times New Roman"/>
          <w:color w:val="000000" w:themeColor="text1"/>
          <w:highlight w:val="none"/>
          <w14:textFill>
            <w14:solidFill>
              <w14:schemeClr w14:val="tx1"/>
            </w14:solidFill>
          </w14:textFill>
        </w:rPr>
        <w:t>m²</w:t>
      </w:r>
      <w:r>
        <w:rPr>
          <w:rFonts w:hint="eastAsia" w:cs="Times New Roman"/>
          <w:color w:val="000000" w:themeColor="text1"/>
          <w:highlight w:val="none"/>
          <w:lang w:eastAsia="zh-CN"/>
          <w14:textFill>
            <w14:solidFill>
              <w14:schemeClr w14:val="tx1"/>
            </w14:solidFill>
          </w14:textFill>
        </w:rPr>
        <w:t>（约合</w:t>
      </w:r>
      <w:r>
        <w:rPr>
          <w:rFonts w:hint="eastAsia" w:cs="Times New Roman"/>
          <w:color w:val="000000" w:themeColor="text1"/>
          <w:highlight w:val="none"/>
          <w:lang w:val="en-US" w:eastAsia="zh-CN"/>
          <w14:textFill>
            <w14:solidFill>
              <w14:schemeClr w14:val="tx1"/>
            </w14:solidFill>
          </w14:textFill>
        </w:rPr>
        <w:t>5.36</w:t>
      </w:r>
      <w:r>
        <w:rPr>
          <w:rFonts w:hint="eastAsia" w:cs="Times New Roman"/>
          <w:color w:val="000000" w:themeColor="text1"/>
          <w:highlight w:val="none"/>
          <w:lang w:eastAsia="zh-CN"/>
          <w14:textFill>
            <w14:solidFill>
              <w14:schemeClr w14:val="tx1"/>
            </w14:solidFill>
          </w14:textFill>
        </w:rPr>
        <w:t>亩）。</w:t>
      </w:r>
      <w:r>
        <w:rPr>
          <w:rFonts w:hint="eastAsia"/>
          <w:color w:val="000000" w:themeColor="text1"/>
          <w:highlight w:val="none"/>
          <w:lang w:val="en-US" w:eastAsia="zh-CN"/>
          <w14:textFill>
            <w14:solidFill>
              <w14:schemeClr w14:val="tx1"/>
            </w14:solidFill>
          </w14:textFill>
        </w:rPr>
        <w:t>1986年，</w:t>
      </w:r>
      <w:r>
        <w:rPr>
          <w:rFonts w:hint="eastAsia"/>
          <w:color w:val="000000" w:themeColor="text1"/>
          <w:highlight w:val="none"/>
          <w:lang w:eastAsia="zh-CN"/>
          <w14:textFill>
            <w14:solidFill>
              <w14:schemeClr w14:val="tx1"/>
            </w14:solidFill>
          </w14:textFill>
        </w:rPr>
        <w:t>沧县鑫成福利化工配装厂一分厂在</w:t>
      </w:r>
      <w:r>
        <w:rPr>
          <w:rFonts w:hint="eastAsia" w:cs="Times New Roman"/>
          <w:color w:val="000000" w:themeColor="text1"/>
          <w:highlight w:val="none"/>
          <w:lang w:eastAsia="zh-CN"/>
          <w14:textFill>
            <w14:solidFill>
              <w14:schemeClr w14:val="tx1"/>
            </w14:solidFill>
          </w14:textFill>
        </w:rPr>
        <w:t>本</w:t>
      </w:r>
      <w:r>
        <w:rPr>
          <w:rFonts w:hint="eastAsia"/>
          <w:color w:val="000000" w:themeColor="text1"/>
          <w:highlight w:val="none"/>
          <w:lang w:val="en-US" w:eastAsia="zh-CN"/>
          <w14:textFill>
            <w14:solidFill>
              <w14:schemeClr w14:val="tx1"/>
            </w14:solidFill>
          </w14:textFill>
        </w:rPr>
        <w:t>地块</w:t>
      </w:r>
      <w:r>
        <w:rPr>
          <w:rFonts w:hint="eastAsia" w:cs="Times New Roman"/>
          <w:color w:val="000000" w:themeColor="text1"/>
          <w:highlight w:val="none"/>
          <w:lang w:eastAsia="zh-CN"/>
          <w14:textFill>
            <w14:solidFill>
              <w14:schemeClr w14:val="tx1"/>
            </w14:solidFill>
          </w14:textFill>
        </w:rPr>
        <w:t>新建厂区</w:t>
      </w:r>
      <w:r>
        <w:rPr>
          <w:rFonts w:hint="eastAsia"/>
          <w:color w:val="000000" w:themeColor="text1"/>
          <w:highlight w:val="none"/>
          <w:lang w:val="en-US" w:eastAsia="zh-CN"/>
          <w14:textFill>
            <w14:solidFill>
              <w14:schemeClr w14:val="tx1"/>
            </w14:solidFill>
          </w14:textFill>
        </w:rPr>
        <w:t>生产硫化宝兰，至2013年全面停产，后闲置至2017年；2017年村民对厂区厂房及生产设备全部拆除，在本地块建立张官屯乡少儿防溺水教育中心顺泽浴池</w:t>
      </w:r>
      <w:r>
        <w:rPr>
          <w:rFonts w:hint="eastAsia"/>
          <w:color w:val="000000" w:themeColor="text1"/>
          <w:lang w:val="en-US" w:eastAsia="zh-CN"/>
          <w14:textFill>
            <w14:solidFill>
              <w14:schemeClr w14:val="tx1"/>
            </w14:solidFill>
          </w14:textFill>
        </w:rPr>
        <w:t>。</w:t>
      </w:r>
    </w:p>
    <w:p>
      <w:pPr>
        <w:pStyle w:val="2"/>
        <w:rPr>
          <w:rFonts w:hint="eastAsia"/>
          <w:color w:val="000000" w:themeColor="text1"/>
          <w:lang w:val="en-US" w:eastAsia="zh-CN"/>
          <w14:textFill>
            <w14:solidFill>
              <w14:schemeClr w14:val="tx1"/>
            </w14:solidFill>
          </w14:textFill>
        </w:rPr>
      </w:pPr>
      <w:r>
        <w:rPr>
          <w:rFonts w:hint="eastAsia"/>
          <w:color w:val="000000" w:themeColor="text1"/>
          <w:highlight w:val="none"/>
          <w14:textFill>
            <w14:solidFill>
              <w14:schemeClr w14:val="tx1"/>
            </w14:solidFill>
          </w14:textFill>
        </w:rPr>
        <w:t>沧县鑫成福利化工配装厂一分厂地块目前用地性质为</w:t>
      </w:r>
      <w:r>
        <w:rPr>
          <w:rFonts w:hint="eastAsia"/>
          <w:color w:val="000000" w:themeColor="text1"/>
          <w:highlight w:val="none"/>
          <w:lang w:eastAsia="zh-CN"/>
          <w14:textFill>
            <w14:solidFill>
              <w14:schemeClr w14:val="tx1"/>
            </w14:solidFill>
          </w14:textFill>
        </w:rPr>
        <w:t>建设用地，使用权为农村集体，暂无土地利用规划。</w:t>
      </w:r>
    </w:p>
    <w:p>
      <w:pPr>
        <w:pStyle w:val="5"/>
        <w:bidi w:val="0"/>
        <w:rPr>
          <w:rFonts w:hint="default" w:ascii="Times New Roman" w:hAnsi="Times New Roman" w:eastAsia="宋体" w:cs="Times New Roman"/>
          <w:color w:val="000000" w:themeColor="text1"/>
          <w:lang w:val="en-US" w:eastAsia="zh-CN"/>
          <w14:textFill>
            <w14:solidFill>
              <w14:schemeClr w14:val="tx1"/>
            </w14:solidFill>
          </w14:textFill>
        </w:rPr>
      </w:pPr>
      <w:bookmarkStart w:id="4" w:name="_Toc31532"/>
      <w:bookmarkStart w:id="5" w:name="_Toc27585"/>
      <w:bookmarkStart w:id="6" w:name="_Toc32579"/>
      <w:bookmarkStart w:id="7" w:name="_Toc4488"/>
      <w:r>
        <w:rPr>
          <w:rFonts w:hint="default" w:ascii="Times New Roman" w:hAnsi="Times New Roman" w:eastAsia="宋体" w:cs="Times New Roman"/>
          <w:color w:val="000000" w:themeColor="text1"/>
          <w:lang w:val="en-US" w:eastAsia="zh-CN"/>
          <w14:textFill>
            <w14:solidFill>
              <w14:schemeClr w14:val="tx1"/>
            </w14:solidFill>
          </w14:textFill>
        </w:rPr>
        <w:t>2 现场采样和检测</w:t>
      </w:r>
      <w:bookmarkEnd w:id="1"/>
      <w:bookmarkEnd w:id="2"/>
      <w:bookmarkEnd w:id="3"/>
      <w:bookmarkEnd w:id="4"/>
      <w:bookmarkEnd w:id="5"/>
      <w:bookmarkEnd w:id="6"/>
      <w:bookmarkEnd w:id="7"/>
    </w:p>
    <w:p>
      <w:pPr>
        <w:ind w:firstLine="48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我单位于</w:t>
      </w:r>
      <w:r>
        <w:rPr>
          <w:rFonts w:hint="default" w:cs="Times New Roman"/>
          <w:color w:val="000000" w:themeColor="text1"/>
          <w:lang w:val="en-US" w:eastAsia="zh-CN"/>
          <w14:textFill>
            <w14:solidFill>
              <w14:schemeClr w14:val="tx1"/>
            </w14:solidFill>
          </w14:textFill>
        </w:rPr>
        <w:t>2020</w:t>
      </w:r>
      <w:r>
        <w:rPr>
          <w:rFonts w:hint="default" w:ascii="Times New Roman" w:hAnsi="Times New Roman" w:cs="Times New Roman"/>
          <w:color w:val="000000" w:themeColor="text1"/>
          <w14:textFill>
            <w14:solidFill>
              <w14:schemeClr w14:val="tx1"/>
            </w14:solidFill>
          </w14:textFill>
        </w:rPr>
        <w:t>年</w:t>
      </w:r>
      <w:r>
        <w:rPr>
          <w:rFonts w:hint="eastAsia" w:cs="Times New Roman"/>
          <w:color w:val="000000" w:themeColor="text1"/>
          <w:lang w:val="en-US" w:eastAsia="zh-CN"/>
          <w14:textFill>
            <w14:solidFill>
              <w14:schemeClr w14:val="tx1"/>
            </w14:solidFill>
          </w14:textFill>
        </w:rPr>
        <w:t>8</w:t>
      </w:r>
      <w:r>
        <w:rPr>
          <w:rFonts w:hint="default" w:ascii="Times New Roman" w:hAnsi="Times New Roman" w:cs="Times New Roman"/>
          <w:color w:val="000000" w:themeColor="text1"/>
          <w14:textFill>
            <w14:solidFill>
              <w14:schemeClr w14:val="tx1"/>
            </w14:solidFill>
          </w14:textFill>
        </w:rPr>
        <w:t>月</w:t>
      </w:r>
      <w:r>
        <w:rPr>
          <w:rFonts w:hint="eastAsia" w:cs="Times New Roman"/>
          <w:color w:val="000000" w:themeColor="text1"/>
          <w:lang w:val="en-US" w:eastAsia="zh-CN"/>
          <w14:textFill>
            <w14:solidFill>
              <w14:schemeClr w14:val="tx1"/>
            </w14:solidFill>
          </w14:textFill>
        </w:rPr>
        <w:t>26</w:t>
      </w:r>
      <w:r>
        <w:rPr>
          <w:rFonts w:hint="default" w:ascii="Times New Roman" w:hAnsi="Times New Roman" w:cs="Times New Roman"/>
          <w:color w:val="000000" w:themeColor="text1"/>
          <w14:textFill>
            <w14:solidFill>
              <w14:schemeClr w14:val="tx1"/>
            </w14:solidFill>
          </w14:textFill>
        </w:rPr>
        <w:t>日</w:t>
      </w:r>
      <w:r>
        <w:rPr>
          <w:rFonts w:hint="eastAsia" w:cs="Times New Roman"/>
          <w:color w:val="000000" w:themeColor="text1"/>
          <w:lang w:eastAsia="zh-CN"/>
          <w14:textFill>
            <w14:solidFill>
              <w14:schemeClr w14:val="tx1"/>
            </w14:solidFill>
          </w14:textFill>
        </w:rPr>
        <w:t>、</w:t>
      </w:r>
      <w:r>
        <w:rPr>
          <w:rFonts w:hint="eastAsia" w:cs="Times New Roman"/>
          <w:color w:val="000000" w:themeColor="text1"/>
          <w:lang w:val="en-US" w:eastAsia="zh-CN"/>
          <w14:textFill>
            <w14:solidFill>
              <w14:schemeClr w14:val="tx1"/>
            </w14:solidFill>
          </w14:textFill>
        </w:rPr>
        <w:t>10月28日及12月17日</w:t>
      </w:r>
      <w:r>
        <w:rPr>
          <w:rFonts w:hint="default" w:ascii="Times New Roman" w:hAnsi="Times New Roman" w:cs="Times New Roman"/>
          <w:color w:val="000000" w:themeColor="text1"/>
          <w14:textFill>
            <w14:solidFill>
              <w14:schemeClr w14:val="tx1"/>
            </w14:solidFill>
          </w14:textFill>
        </w:rPr>
        <w:t>对项目地块进行了</w:t>
      </w:r>
      <w:r>
        <w:rPr>
          <w:rFonts w:hint="default" w:ascii="Times New Roman" w:hAnsi="Times New Roman" w:cs="Times New Roman"/>
          <w:color w:val="000000" w:themeColor="text1"/>
          <w:lang w:eastAsia="zh-CN"/>
          <w14:textFill>
            <w14:solidFill>
              <w14:schemeClr w14:val="tx1"/>
            </w14:solidFill>
          </w14:textFill>
        </w:rPr>
        <w:t>钻探</w:t>
      </w:r>
      <w:r>
        <w:rPr>
          <w:rFonts w:hint="default" w:ascii="Times New Roman" w:hAnsi="Times New Roman" w:cs="Times New Roman"/>
          <w:color w:val="000000" w:themeColor="text1"/>
          <w14:textFill>
            <w14:solidFill>
              <w14:schemeClr w14:val="tx1"/>
            </w14:solidFill>
          </w14:textFill>
        </w:rPr>
        <w:t>采样，地块采用系统布点法共布设</w:t>
      </w:r>
      <w:r>
        <w:rPr>
          <w:rFonts w:hint="default" w:cs="Times New Roman"/>
          <w:color w:val="000000" w:themeColor="text1"/>
          <w:lang w:val="en-US" w:eastAsia="zh-CN"/>
          <w14:textFill>
            <w14:solidFill>
              <w14:schemeClr w14:val="tx1"/>
            </w14:solidFill>
          </w14:textFill>
        </w:rPr>
        <w:t>5</w:t>
      </w:r>
      <w:r>
        <w:rPr>
          <w:rFonts w:hint="default" w:ascii="Times New Roman" w:hAnsi="Times New Roman" w:cs="Times New Roman"/>
          <w:color w:val="000000" w:themeColor="text1"/>
          <w14:textFill>
            <w14:solidFill>
              <w14:schemeClr w14:val="tx1"/>
            </w14:solidFill>
          </w14:textFill>
        </w:rPr>
        <w:t>个土壤采样点</w:t>
      </w:r>
      <w:r>
        <w:rPr>
          <w:rFonts w:hint="default" w:ascii="Times New Roman" w:hAnsi="Times New Roman" w:cs="Times New Roman"/>
          <w:color w:val="000000" w:themeColor="text1"/>
          <w:highlight w:val="none"/>
          <w14:textFill>
            <w14:solidFill>
              <w14:schemeClr w14:val="tx1"/>
            </w14:solidFill>
          </w14:textFill>
        </w:rPr>
        <w:t>位，共采集土壤样品</w:t>
      </w:r>
      <w:r>
        <w:rPr>
          <w:rFonts w:hint="eastAsia" w:cs="Times New Roman"/>
          <w:color w:val="000000" w:themeColor="text1"/>
          <w:highlight w:val="none"/>
          <w:lang w:val="en-US" w:eastAsia="zh-CN"/>
          <w14:textFill>
            <w14:solidFill>
              <w14:schemeClr w14:val="tx1"/>
            </w14:solidFill>
          </w14:textFill>
        </w:rPr>
        <w:t>29</w:t>
      </w:r>
      <w:r>
        <w:rPr>
          <w:rFonts w:hint="default" w:ascii="Times New Roman" w:hAnsi="Times New Roman" w:cs="Times New Roman"/>
          <w:color w:val="000000" w:themeColor="text1"/>
          <w:highlight w:val="none"/>
          <w14:textFill>
            <w14:solidFill>
              <w14:schemeClr w14:val="tx1"/>
            </w14:solidFill>
          </w14:textFill>
        </w:rPr>
        <w:t>组，另有</w:t>
      </w:r>
      <w:r>
        <w:rPr>
          <w:rFonts w:hint="eastAsia" w:cs="Times New Roman"/>
          <w:color w:val="000000" w:themeColor="text1"/>
          <w:highlight w:val="none"/>
          <w:lang w:val="en-US" w:eastAsia="zh-CN"/>
          <w14:textFill>
            <w14:solidFill>
              <w14:schemeClr w14:val="tx1"/>
            </w14:solidFill>
          </w14:textFill>
        </w:rPr>
        <w:t>4</w:t>
      </w:r>
      <w:r>
        <w:rPr>
          <w:rFonts w:hint="default" w:ascii="Times New Roman" w:hAnsi="Times New Roman" w:cs="Times New Roman"/>
          <w:color w:val="000000" w:themeColor="text1"/>
          <w:highlight w:val="none"/>
          <w14:textFill>
            <w14:solidFill>
              <w14:schemeClr w14:val="tx1"/>
            </w14:solidFill>
          </w14:textFill>
        </w:rPr>
        <w:t>组现场平行样；</w:t>
      </w:r>
      <w:r>
        <w:rPr>
          <w:rFonts w:hint="default" w:cs="Times New Roman"/>
          <w:color w:val="000000" w:themeColor="text1"/>
          <w:highlight w:val="none"/>
          <w:lang w:eastAsia="zh-CN"/>
          <w14:textFill>
            <w14:solidFill>
              <w14:schemeClr w14:val="tx1"/>
            </w14:solidFill>
          </w14:textFill>
        </w:rPr>
        <w:t>采集</w:t>
      </w:r>
      <w:r>
        <w:rPr>
          <w:rFonts w:hint="eastAsia" w:cs="Times New Roman"/>
          <w:color w:val="000000" w:themeColor="text1"/>
          <w:highlight w:val="none"/>
          <w:lang w:val="en-US" w:eastAsia="zh-CN"/>
          <w14:textFill>
            <w14:solidFill>
              <w14:schemeClr w14:val="tx1"/>
            </w14:solidFill>
          </w14:textFill>
        </w:rPr>
        <w:t>1</w:t>
      </w:r>
      <w:r>
        <w:rPr>
          <w:rFonts w:hint="default" w:cs="Times New Roman"/>
          <w:color w:val="000000" w:themeColor="text1"/>
          <w:highlight w:val="none"/>
          <w:lang w:val="en-US" w:eastAsia="zh-CN"/>
          <w14:textFill>
            <w14:solidFill>
              <w14:schemeClr w14:val="tx1"/>
            </w14:solidFill>
          </w14:textFill>
        </w:rPr>
        <w:t>组</w:t>
      </w:r>
      <w:r>
        <w:rPr>
          <w:rFonts w:hint="default" w:cs="Times New Roman"/>
          <w:color w:val="000000" w:themeColor="text1"/>
          <w:highlight w:val="none"/>
          <w:lang w:eastAsia="zh-CN"/>
          <w14:textFill>
            <w14:solidFill>
              <w14:schemeClr w14:val="tx1"/>
            </w14:solidFill>
          </w14:textFill>
        </w:rPr>
        <w:t>地下水样品，另有</w:t>
      </w:r>
      <w:r>
        <w:rPr>
          <w:rFonts w:hint="default" w:cs="Times New Roman"/>
          <w:color w:val="000000" w:themeColor="text1"/>
          <w:highlight w:val="none"/>
          <w:lang w:val="en-US" w:eastAsia="zh-CN"/>
          <w14:textFill>
            <w14:solidFill>
              <w14:schemeClr w14:val="tx1"/>
            </w14:solidFill>
          </w14:textFill>
        </w:rPr>
        <w:t>1组现场平行样</w:t>
      </w:r>
      <w:r>
        <w:rPr>
          <w:rFonts w:hint="default" w:ascii="Times New Roman" w:hAnsi="Times New Roman" w:cs="Times New Roman"/>
          <w:color w:val="000000" w:themeColor="text1"/>
          <w:highlight w:val="none"/>
          <w14:textFill>
            <w14:solidFill>
              <w14:schemeClr w14:val="tx1"/>
            </w14:solidFill>
          </w14:textFill>
        </w:rPr>
        <w:t>。</w:t>
      </w:r>
    </w:p>
    <w:p>
      <w:pPr>
        <w:ind w:firstLine="48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本项目调查采样全部由我单位技术人员根据制定的采样方案进行。本项目采集的所有土壤样品全部</w:t>
      </w:r>
      <w:r>
        <w:rPr>
          <w:rFonts w:hint="default" w:cs="Times New Roman"/>
          <w:color w:val="000000" w:themeColor="text1"/>
          <w:lang w:eastAsia="zh-CN"/>
          <w14:textFill>
            <w14:solidFill>
              <w14:schemeClr w14:val="tx1"/>
            </w14:solidFill>
          </w14:textFill>
        </w:rPr>
        <w:t>由</w:t>
      </w:r>
      <w:r>
        <w:rPr>
          <w:rFonts w:hint="default" w:ascii="Times New Roman" w:hAnsi="Times New Roman" w:cs="Times New Roman"/>
          <w:color w:val="000000" w:themeColor="text1"/>
          <w14:textFill>
            <w14:solidFill>
              <w14:schemeClr w14:val="tx1"/>
            </w14:solidFill>
          </w14:textFill>
        </w:rPr>
        <w:t>经计量认证合格的河北百润环境检测技术有限公司</w:t>
      </w:r>
      <w:r>
        <w:rPr>
          <w:rFonts w:hint="default" w:cs="Times New Roman"/>
          <w:color w:val="000000" w:themeColor="text1"/>
          <w:lang w:eastAsia="zh-CN"/>
          <w14:textFill>
            <w14:solidFill>
              <w14:schemeClr w14:val="tx1"/>
            </w14:solidFill>
          </w14:textFill>
        </w:rPr>
        <w:t>实验室</w:t>
      </w:r>
      <w:r>
        <w:rPr>
          <w:rFonts w:hint="default" w:ascii="Times New Roman" w:hAnsi="Times New Roman" w:cs="Times New Roman"/>
          <w:color w:val="000000" w:themeColor="text1"/>
          <w14:textFill>
            <w14:solidFill>
              <w14:schemeClr w14:val="tx1"/>
            </w14:solidFill>
          </w14:textFill>
        </w:rPr>
        <w:t>进行检测分析，目前已提供了全部检测样品的检测报告及质控报告。</w:t>
      </w:r>
    </w:p>
    <w:p>
      <w:pPr>
        <w:pStyle w:val="5"/>
        <w:bidi w:val="0"/>
        <w:rPr>
          <w:rFonts w:hint="default" w:ascii="Times New Roman" w:hAnsi="Times New Roman" w:eastAsia="宋体" w:cs="Times New Roman"/>
          <w:color w:val="000000" w:themeColor="text1"/>
          <w:highlight w:val="none"/>
          <w:lang w:val="en-US" w:eastAsia="zh-CN"/>
          <w14:textFill>
            <w14:solidFill>
              <w14:schemeClr w14:val="tx1"/>
            </w14:solidFill>
          </w14:textFill>
        </w:rPr>
      </w:pPr>
      <w:bookmarkStart w:id="8" w:name="_Toc12717"/>
      <w:bookmarkStart w:id="9" w:name="_Toc21994"/>
      <w:bookmarkStart w:id="10" w:name="_Toc24420"/>
      <w:bookmarkStart w:id="11" w:name="_Toc1129"/>
      <w:bookmarkStart w:id="12" w:name="_Toc17228"/>
      <w:bookmarkStart w:id="13" w:name="_Toc19948"/>
      <w:r>
        <w:rPr>
          <w:rFonts w:hint="default" w:ascii="Times New Roman" w:hAnsi="Times New Roman" w:eastAsia="宋体" w:cs="Times New Roman"/>
          <w:color w:val="000000" w:themeColor="text1"/>
          <w:highlight w:val="none"/>
          <w:lang w:val="en-US" w:eastAsia="zh-CN"/>
          <w14:textFill>
            <w14:solidFill>
              <w14:schemeClr w14:val="tx1"/>
            </w14:solidFill>
          </w14:textFill>
        </w:rPr>
        <w:t>3 检测结果分析</w:t>
      </w:r>
      <w:bookmarkEnd w:id="8"/>
      <w:bookmarkEnd w:id="9"/>
      <w:bookmarkEnd w:id="10"/>
      <w:bookmarkEnd w:id="11"/>
      <w:bookmarkEnd w:id="12"/>
      <w:bookmarkEnd w:id="13"/>
    </w:p>
    <w:p>
      <w:pPr>
        <w:pStyle w:val="3"/>
        <w:bidi w:val="0"/>
        <w:rPr>
          <w:rFonts w:hint="default" w:ascii="Times New Roman" w:hAnsi="Times New Roman" w:cs="Times New Roman"/>
          <w:color w:val="000000" w:themeColor="text1"/>
          <w:highlight w:val="none"/>
          <w:lang w:val="en-US" w:eastAsia="zh-CN"/>
          <w14:textFill>
            <w14:solidFill>
              <w14:schemeClr w14:val="tx1"/>
            </w14:solidFill>
          </w14:textFill>
        </w:rPr>
      </w:pPr>
      <w:bookmarkStart w:id="14" w:name="_Toc1746"/>
      <w:bookmarkStart w:id="15" w:name="_Toc16526"/>
      <w:bookmarkStart w:id="16" w:name="_Toc27064"/>
      <w:bookmarkStart w:id="17" w:name="_Toc19300"/>
      <w:bookmarkStart w:id="18" w:name="_Toc10514"/>
      <w:bookmarkStart w:id="19" w:name="_Toc15050"/>
      <w:r>
        <w:rPr>
          <w:rFonts w:hint="default" w:ascii="Times New Roman" w:hAnsi="Times New Roman" w:cs="Times New Roman"/>
          <w:color w:val="000000" w:themeColor="text1"/>
          <w:highlight w:val="none"/>
          <w:lang w:val="en-US" w:eastAsia="zh-CN"/>
          <w14:textFill>
            <w14:solidFill>
              <w14:schemeClr w14:val="tx1"/>
            </w14:solidFill>
          </w14:textFill>
        </w:rPr>
        <w:t>3.1 土壤检测结果分析</w:t>
      </w:r>
    </w:p>
    <w:p>
      <w:pPr>
        <w:rPr>
          <w:rFonts w:hint="eastAsia" w:eastAsia="宋体" w:cs="Times New Roman"/>
          <w:color w:val="000000" w:themeColor="text1"/>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根据地块土壤样品检测结果，地块内</w:t>
      </w:r>
      <w:r>
        <w:rPr>
          <w:rFonts w:hint="default" w:ascii="Times New Roman" w:hAnsi="Times New Roman" w:cs="Times New Roman"/>
          <w:color w:val="000000" w:themeColor="text1"/>
          <w:highlight w:val="none"/>
          <w:lang w:eastAsia="zh-CN"/>
          <w14:textFill>
            <w14:solidFill>
              <w14:schemeClr w14:val="tx1"/>
            </w14:solidFill>
          </w14:textFill>
        </w:rPr>
        <w:t>测定的</w:t>
      </w:r>
      <w:r>
        <w:rPr>
          <w:rFonts w:hint="eastAsia" w:cs="Times New Roman"/>
          <w:color w:val="000000" w:themeColor="text1"/>
          <w:highlight w:val="none"/>
          <w:lang w:val="en-US" w:eastAsia="zh-CN"/>
          <w14:textFill>
            <w14:solidFill>
              <w14:schemeClr w14:val="tx1"/>
            </w14:solidFill>
          </w14:textFill>
        </w:rPr>
        <w:t>5</w:t>
      </w:r>
      <w:r>
        <w:rPr>
          <w:rFonts w:hint="default" w:ascii="Times New Roman" w:hAnsi="Times New Roman" w:cs="Times New Roman"/>
          <w:color w:val="000000" w:themeColor="text1"/>
          <w:highlight w:val="none"/>
          <w:lang w:val="en-US" w:eastAsia="zh-CN"/>
          <w14:textFill>
            <w14:solidFill>
              <w14:schemeClr w14:val="tx1"/>
            </w14:solidFill>
          </w14:textFill>
        </w:rPr>
        <w:t>个</w:t>
      </w:r>
      <w:r>
        <w:rPr>
          <w:rFonts w:hint="default" w:cs="Times New Roman"/>
          <w:color w:val="000000" w:themeColor="text1"/>
          <w:highlight w:val="none"/>
          <w:lang w:val="en-US" w:eastAsia="zh-CN"/>
          <w14:textFill>
            <w14:solidFill>
              <w14:schemeClr w14:val="tx1"/>
            </w14:solidFill>
          </w14:textFill>
        </w:rPr>
        <w:t>采样</w:t>
      </w:r>
      <w:r>
        <w:rPr>
          <w:rFonts w:hint="default" w:ascii="Times New Roman" w:hAnsi="Times New Roman" w:cs="Times New Roman"/>
          <w:color w:val="000000" w:themeColor="text1"/>
          <w:highlight w:val="none"/>
          <w:lang w:val="en-US" w:eastAsia="zh-CN"/>
          <w14:textFill>
            <w14:solidFill>
              <w14:schemeClr w14:val="tx1"/>
            </w14:solidFill>
          </w14:textFill>
        </w:rPr>
        <w:t>点位</w:t>
      </w:r>
      <w:r>
        <w:rPr>
          <w:rFonts w:hint="eastAsia" w:cs="Times New Roman"/>
          <w:color w:val="000000" w:themeColor="text1"/>
          <w:highlight w:val="none"/>
          <w:lang w:val="en-US" w:eastAsia="zh-CN"/>
          <w14:textFill>
            <w14:solidFill>
              <w14:schemeClr w14:val="tx1"/>
            </w14:solidFill>
          </w14:textFill>
        </w:rPr>
        <w:t>29</w:t>
      </w:r>
      <w:r>
        <w:rPr>
          <w:rFonts w:hint="default" w:cs="Times New Roman"/>
          <w:color w:val="000000" w:themeColor="text1"/>
          <w:highlight w:val="none"/>
          <w:lang w:val="en-US" w:eastAsia="zh-CN"/>
          <w14:textFill>
            <w14:solidFill>
              <w14:schemeClr w14:val="tx1"/>
            </w14:solidFill>
          </w14:textFill>
        </w:rPr>
        <w:t>个样品中，</w:t>
      </w:r>
      <w:r>
        <w:rPr>
          <w:rFonts w:hint="default" w:ascii="Times New Roman" w:hAnsi="Times New Roman" w:cs="Times New Roman"/>
          <w:color w:val="000000" w:themeColor="text1"/>
          <w:highlight w:val="none"/>
          <w14:textFill>
            <w14:solidFill>
              <w14:schemeClr w14:val="tx1"/>
            </w14:solidFill>
          </w14:textFill>
        </w:rPr>
        <w:t>所有</w:t>
      </w:r>
      <w:r>
        <w:rPr>
          <w:rFonts w:hint="default" w:ascii="Times New Roman" w:hAnsi="Times New Roman" w:cs="Times New Roman"/>
          <w:color w:val="000000" w:themeColor="text1"/>
          <w:highlight w:val="none"/>
          <w:lang w:eastAsia="zh-CN"/>
          <w14:textFill>
            <w14:solidFill>
              <w14:schemeClr w14:val="tx1"/>
            </w14:solidFill>
          </w14:textFill>
        </w:rPr>
        <w:t>土壤样品</w:t>
      </w:r>
      <w:r>
        <w:rPr>
          <w:rFonts w:hint="default" w:ascii="Times New Roman" w:hAnsi="Times New Roman" w:cs="Times New Roman"/>
          <w:color w:val="000000" w:themeColor="text1"/>
          <w:highlight w:val="none"/>
          <w14:textFill>
            <w14:solidFill>
              <w14:schemeClr w14:val="tx1"/>
            </w14:solidFill>
          </w14:textFill>
        </w:rPr>
        <w:t>重金属因子</w:t>
      </w:r>
      <w:r>
        <w:rPr>
          <w:rFonts w:hint="eastAsia" w:cs="Times New Roman"/>
          <w:color w:val="000000" w:themeColor="text1"/>
          <w:highlight w:val="none"/>
          <w:lang w:eastAsia="zh-CN"/>
          <w14:textFill>
            <w14:solidFill>
              <w14:schemeClr w14:val="tx1"/>
            </w14:solidFill>
          </w14:textFill>
        </w:rPr>
        <w:t>、氟化物及氨氮</w:t>
      </w:r>
      <w:r>
        <w:rPr>
          <w:rFonts w:hint="default" w:ascii="Times New Roman" w:hAnsi="Times New Roman" w:cs="Times New Roman"/>
          <w:color w:val="000000" w:themeColor="text1"/>
          <w:highlight w:val="none"/>
          <w14:textFill>
            <w14:solidFill>
              <w14:schemeClr w14:val="tx1"/>
            </w14:solidFill>
          </w14:textFill>
        </w:rPr>
        <w:t>均有检出</w:t>
      </w:r>
      <w:r>
        <w:rPr>
          <w:rFonts w:hint="default" w:ascii="Times New Roman" w:hAnsi="Times New Roman" w:cs="Times New Roman"/>
          <w:color w:val="000000" w:themeColor="text1"/>
          <w:highlight w:val="none"/>
          <w:lang w:eastAsia="zh-CN"/>
          <w14:textFill>
            <w14:solidFill>
              <w14:schemeClr w14:val="tx1"/>
            </w14:solidFill>
          </w14:textFill>
        </w:rPr>
        <w:t>，但</w:t>
      </w:r>
      <w:r>
        <w:rPr>
          <w:rFonts w:hint="default" w:ascii="Times New Roman" w:hAnsi="Times New Roman" w:cs="Times New Roman"/>
          <w:color w:val="000000" w:themeColor="text1"/>
          <w:highlight w:val="none"/>
          <w14:textFill>
            <w14:solidFill>
              <w14:schemeClr w14:val="tx1"/>
            </w14:solidFill>
          </w14:textFill>
        </w:rPr>
        <w:t>各</w:t>
      </w:r>
      <w:r>
        <w:rPr>
          <w:rFonts w:hint="default" w:ascii="Times New Roman" w:hAnsi="Times New Roman" w:cs="Times New Roman"/>
          <w:color w:val="000000" w:themeColor="text1"/>
          <w:highlight w:val="none"/>
          <w:lang w:eastAsia="zh-CN"/>
          <w14:textFill>
            <w14:solidFill>
              <w14:schemeClr w14:val="tx1"/>
            </w14:solidFill>
          </w14:textFill>
        </w:rPr>
        <w:t>检出</w:t>
      </w:r>
      <w:r>
        <w:rPr>
          <w:rFonts w:hint="default" w:ascii="Times New Roman" w:hAnsi="Times New Roman" w:cs="Times New Roman"/>
          <w:color w:val="000000" w:themeColor="text1"/>
          <w:highlight w:val="none"/>
          <w14:textFill>
            <w14:solidFill>
              <w14:schemeClr w14:val="tx1"/>
            </w14:solidFill>
          </w14:textFill>
        </w:rPr>
        <w:t>因子的最大浓度均未超过本</w:t>
      </w:r>
      <w:r>
        <w:rPr>
          <w:rFonts w:hint="default" w:cs="Times New Roman"/>
          <w:color w:val="000000" w:themeColor="text1"/>
          <w:highlight w:val="none"/>
          <w:lang w:eastAsia="zh-CN"/>
          <w14:textFill>
            <w14:solidFill>
              <w14:schemeClr w14:val="tx1"/>
            </w14:solidFill>
          </w14:textFill>
        </w:rPr>
        <w:t>地块土壤</w:t>
      </w:r>
      <w:r>
        <w:rPr>
          <w:rFonts w:hint="default" w:ascii="Times New Roman" w:hAnsi="Times New Roman" w:cs="Times New Roman"/>
          <w:color w:val="000000" w:themeColor="text1"/>
          <w:highlight w:val="none"/>
          <w14:textFill>
            <w14:solidFill>
              <w14:schemeClr w14:val="tx1"/>
            </w14:solidFill>
          </w14:textFill>
        </w:rPr>
        <w:t>调查所选用的筛选值</w:t>
      </w:r>
      <w:r>
        <w:rPr>
          <w:rFonts w:hint="eastAsia" w:cs="Times New Roman"/>
          <w:color w:val="000000" w:themeColor="text1"/>
          <w:highlight w:val="none"/>
          <w:lang w:eastAsia="zh-CN"/>
          <w14:textFill>
            <w14:solidFill>
              <w14:schemeClr w14:val="tx1"/>
            </w14:solidFill>
          </w14:textFill>
        </w:rPr>
        <w:t>；</w:t>
      </w:r>
      <w:r>
        <w:rPr>
          <w:rFonts w:hint="default" w:ascii="Times New Roman" w:hAnsi="Times New Roman" w:cs="Times New Roman"/>
          <w:color w:val="000000" w:themeColor="text1"/>
          <w:highlight w:val="none"/>
          <w:lang w:eastAsia="zh-CN"/>
          <w14:textFill>
            <w14:solidFill>
              <w14:schemeClr w14:val="tx1"/>
            </w14:solidFill>
          </w14:textFill>
        </w:rPr>
        <w:t>六价铬</w:t>
      </w:r>
      <w:r>
        <w:rPr>
          <w:rFonts w:hint="eastAsia" w:ascii="Times New Roman" w:hAnsi="Times New Roman" w:cs="Times New Roman"/>
          <w:color w:val="000000" w:themeColor="text1"/>
          <w:highlight w:val="none"/>
          <w:lang w:eastAsia="zh-CN"/>
          <w14:textFill>
            <w14:solidFill>
              <w14:schemeClr w14:val="tx1"/>
            </w14:solidFill>
          </w14:textFill>
        </w:rPr>
        <w:t>、</w:t>
      </w:r>
      <w:r>
        <w:rPr>
          <w:rFonts w:hint="default" w:ascii="Times New Roman" w:hAnsi="Times New Roman" w:cs="Times New Roman"/>
          <w:color w:val="000000" w:themeColor="text1"/>
          <w:highlight w:val="none"/>
          <w:lang w:val="en-US" w:eastAsia="zh-CN"/>
          <w14:textFill>
            <w14:solidFill>
              <w14:schemeClr w14:val="tx1"/>
            </w14:solidFill>
          </w14:textFill>
        </w:rPr>
        <w:t>VOCs</w:t>
      </w:r>
      <w:r>
        <w:rPr>
          <w:rFonts w:hint="eastAsia" w:cs="Times New Roman"/>
          <w:color w:val="000000" w:themeColor="text1"/>
          <w:highlight w:val="none"/>
          <w:lang w:val="en-US" w:eastAsia="zh-CN"/>
          <w14:textFill>
            <w14:solidFill>
              <w14:schemeClr w14:val="tx1"/>
            </w14:solidFill>
          </w14:textFill>
        </w:rPr>
        <w:t>、对氨基苯酚</w:t>
      </w:r>
      <w:r>
        <w:rPr>
          <w:rFonts w:hint="default" w:cs="Times New Roman"/>
          <w:color w:val="000000" w:themeColor="text1"/>
          <w:highlight w:val="none"/>
          <w:lang w:val="en-US" w:eastAsia="zh-CN"/>
          <w14:textFill>
            <w14:solidFill>
              <w14:schemeClr w14:val="tx1"/>
            </w14:solidFill>
          </w14:textFill>
        </w:rPr>
        <w:t>全部未检出</w:t>
      </w:r>
      <w:r>
        <w:rPr>
          <w:rFonts w:hint="eastAsia" w:cs="Times New Roman"/>
          <w:color w:val="000000" w:themeColor="text1"/>
          <w:highlight w:val="none"/>
          <w:lang w:val="en-US" w:eastAsia="zh-CN"/>
          <w14:textFill>
            <w14:solidFill>
              <w14:schemeClr w14:val="tx1"/>
            </w14:solidFill>
          </w14:textFill>
        </w:rPr>
        <w:t>；</w:t>
      </w:r>
      <w:r>
        <w:rPr>
          <w:rFonts w:hint="default" w:ascii="Times New Roman" w:hAnsi="Times New Roman" w:cs="Times New Roman"/>
          <w:color w:val="000000" w:themeColor="text1"/>
          <w:highlight w:val="none"/>
          <w:lang w:val="en-US" w:eastAsia="zh-CN"/>
          <w14:textFill>
            <w14:solidFill>
              <w14:schemeClr w14:val="tx1"/>
            </w14:solidFill>
          </w14:textFill>
        </w:rPr>
        <w:t>本地块初步调查阶段</w:t>
      </w:r>
      <w:r>
        <w:rPr>
          <w:rFonts w:hint="eastAsia" w:cs="Times New Roman"/>
          <w:color w:val="000000" w:themeColor="text1"/>
          <w:highlight w:val="none"/>
          <w:lang w:val="en-US" w:eastAsia="zh-CN"/>
          <w14:textFill>
            <w14:solidFill>
              <w14:schemeClr w14:val="tx1"/>
            </w14:solidFill>
          </w14:textFill>
        </w:rPr>
        <w:t>5</w:t>
      </w:r>
      <w:r>
        <w:rPr>
          <w:rFonts w:hint="default" w:ascii="Times New Roman" w:hAnsi="Times New Roman" w:cs="Times New Roman"/>
          <w:color w:val="000000" w:themeColor="text1"/>
          <w:highlight w:val="none"/>
          <w:lang w:val="en-US" w:eastAsia="zh-CN"/>
          <w14:textFill>
            <w14:solidFill>
              <w14:schemeClr w14:val="tx1"/>
            </w14:solidFill>
          </w14:textFill>
        </w:rPr>
        <w:t>采样点位中共</w:t>
      </w:r>
      <w:r>
        <w:rPr>
          <w:rFonts w:hint="eastAsia" w:cs="Times New Roman"/>
          <w:color w:val="000000" w:themeColor="text1"/>
          <w:highlight w:val="none"/>
          <w:lang w:val="en-US" w:eastAsia="zh-CN"/>
          <w14:textFill>
            <w14:solidFill>
              <w14:schemeClr w14:val="tx1"/>
            </w14:solidFill>
          </w14:textFill>
        </w:rPr>
        <w:t>21</w:t>
      </w:r>
      <w:r>
        <w:rPr>
          <w:rFonts w:hint="default" w:ascii="Times New Roman" w:hAnsi="Times New Roman" w:cs="Times New Roman"/>
          <w:color w:val="000000" w:themeColor="text1"/>
          <w:highlight w:val="none"/>
          <w:lang w:val="en-US" w:eastAsia="zh-CN"/>
          <w14:textFill>
            <w14:solidFill>
              <w14:schemeClr w14:val="tx1"/>
            </w14:solidFill>
          </w14:textFill>
        </w:rPr>
        <w:t>个土壤样品检测了SVOCs，</w:t>
      </w:r>
      <w:r>
        <w:rPr>
          <w:rFonts w:hint="eastAsia" w:cs="Times New Roman"/>
          <w:color w:val="000000" w:themeColor="text1"/>
          <w:highlight w:val="none"/>
          <w:lang w:val="en-US" w:eastAsia="zh-CN"/>
          <w14:textFill>
            <w14:solidFill>
              <w14:schemeClr w14:val="tx1"/>
            </w14:solidFill>
          </w14:textFill>
        </w:rPr>
        <w:t>只</w:t>
      </w:r>
      <w:r>
        <w:rPr>
          <w:rFonts w:hint="eastAsia" w:cs="Times New Roman"/>
          <w:color w:val="000000" w:themeColor="text1"/>
          <w:lang w:val="en-US" w:eastAsia="zh-CN"/>
          <w14:textFill>
            <w14:solidFill>
              <w14:schemeClr w14:val="tx1"/>
            </w14:solidFill>
          </w14:textFill>
        </w:rPr>
        <w:t>有C1点位5.4m处苯并[a]芘有检出，检出浓度为0.4mg/kg（检出限为0.1mg/kg），但未超过</w:t>
      </w:r>
      <w:r>
        <w:rPr>
          <w:rFonts w:hint="default" w:ascii="Times New Roman" w:hAnsi="Times New Roman" w:cs="Times New Roman"/>
          <w:color w:val="000000" w:themeColor="text1"/>
          <w14:textFill>
            <w14:solidFill>
              <w14:schemeClr w14:val="tx1"/>
            </w14:solidFill>
          </w14:textFill>
        </w:rPr>
        <w:t>本次</w:t>
      </w:r>
      <w:r>
        <w:rPr>
          <w:rFonts w:hint="default" w:ascii="Times New Roman" w:hAnsi="Times New Roman" w:cs="Times New Roman"/>
          <w:color w:val="000000" w:themeColor="text1"/>
          <w:lang w:eastAsia="zh-CN"/>
          <w14:textFill>
            <w14:solidFill>
              <w14:schemeClr w14:val="tx1"/>
            </w14:solidFill>
          </w14:textFill>
        </w:rPr>
        <w:t>地块土壤污染</w:t>
      </w:r>
      <w:r>
        <w:rPr>
          <w:rFonts w:hint="default" w:ascii="Times New Roman" w:hAnsi="Times New Roman" w:cs="Times New Roman"/>
          <w:color w:val="000000" w:themeColor="text1"/>
          <w14:textFill>
            <w14:solidFill>
              <w14:schemeClr w14:val="tx1"/>
            </w14:solidFill>
          </w14:textFill>
        </w:rPr>
        <w:t>环境调查所选用的筛选值</w:t>
      </w:r>
      <w:r>
        <w:rPr>
          <w:rFonts w:hint="eastAsia" w:cs="Times New Roman"/>
          <w:color w:val="000000" w:themeColor="text1"/>
          <w:lang w:eastAsia="zh-CN"/>
          <w14:textFill>
            <w14:solidFill>
              <w14:schemeClr w14:val="tx1"/>
            </w14:solidFill>
          </w14:textFill>
        </w:rPr>
        <w:t>，可能与地块历史上东侧及南侧雨水坑内的污水迁移有关。</w:t>
      </w:r>
    </w:p>
    <w:p>
      <w:pPr>
        <w:pStyle w:val="3"/>
        <w:bidi w:val="0"/>
        <w:rPr>
          <w:rFonts w:hint="default" w:ascii="Times New Roman" w:hAnsi="Times New Roman"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3.</w:t>
      </w:r>
      <w:r>
        <w:rPr>
          <w:rFonts w:hint="eastAsia" w:ascii="Times New Roman" w:hAnsi="Times New Roman" w:cs="Times New Roman"/>
          <w:color w:val="000000" w:themeColor="text1"/>
          <w:highlight w:val="none"/>
          <w:lang w:val="en-US" w:eastAsia="zh-CN"/>
          <w14:textFill>
            <w14:solidFill>
              <w14:schemeClr w14:val="tx1"/>
            </w14:solidFill>
          </w14:textFill>
        </w:rPr>
        <w:t>2</w:t>
      </w:r>
      <w:r>
        <w:rPr>
          <w:rFonts w:hint="default" w:ascii="Times New Roman" w:hAnsi="Times New Roman" w:cs="Times New Roman"/>
          <w:color w:val="000000" w:themeColor="text1"/>
          <w:highlight w:val="none"/>
          <w:lang w:val="en-US" w:eastAsia="zh-CN"/>
          <w14:textFill>
            <w14:solidFill>
              <w14:schemeClr w14:val="tx1"/>
            </w14:solidFill>
          </w14:textFill>
        </w:rPr>
        <w:t xml:space="preserve"> </w:t>
      </w:r>
      <w:r>
        <w:rPr>
          <w:rFonts w:hint="eastAsia" w:ascii="Times New Roman" w:hAnsi="Times New Roman" w:cs="Times New Roman"/>
          <w:color w:val="000000" w:themeColor="text1"/>
          <w:highlight w:val="none"/>
          <w:lang w:val="en-US" w:eastAsia="zh-CN"/>
          <w14:textFill>
            <w14:solidFill>
              <w14:schemeClr w14:val="tx1"/>
            </w14:solidFill>
          </w14:textFill>
        </w:rPr>
        <w:t>地下水</w:t>
      </w:r>
      <w:r>
        <w:rPr>
          <w:rFonts w:hint="default" w:ascii="Times New Roman" w:hAnsi="Times New Roman" w:cs="Times New Roman"/>
          <w:color w:val="000000" w:themeColor="text1"/>
          <w:highlight w:val="none"/>
          <w:lang w:val="en-US" w:eastAsia="zh-CN"/>
          <w14:textFill>
            <w14:solidFill>
              <w14:schemeClr w14:val="tx1"/>
            </w14:solidFill>
          </w14:textFill>
        </w:rPr>
        <w:t>检测结果分析</w:t>
      </w:r>
    </w:p>
    <w:p>
      <w:pPr>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（1）常规因子检测结果分析</w:t>
      </w:r>
    </w:p>
    <w:p>
      <w:pPr>
        <w:bidi w:val="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根据地下水样品检测结果，地下水中的总硬度、溶解性总固体、硫酸盐、氯化物、耗氧量</w:t>
      </w:r>
      <w:r>
        <w:rPr>
          <w:rFonts w:hint="eastAsia" w:ascii="Times New Roman" w:hAnsi="Times New Roman" w:cs="Times New Roman"/>
          <w:color w:val="000000" w:themeColor="text1"/>
          <w:highlight w:val="none"/>
          <w:lang w:val="en-US" w:eastAsia="zh-CN"/>
          <w14:textFill>
            <w14:solidFill>
              <w14:schemeClr w14:val="tx1"/>
            </w14:solidFill>
          </w14:textFill>
        </w:rPr>
        <w:t>（COD</w:t>
      </w:r>
      <w:r>
        <w:rPr>
          <w:rFonts w:hint="eastAsia" w:ascii="Times New Roman" w:hAnsi="Times New Roman" w:cs="Times New Roman"/>
          <w:color w:val="000000" w:themeColor="text1"/>
          <w:highlight w:val="none"/>
          <w:vertAlign w:val="subscript"/>
          <w:lang w:val="en-US" w:eastAsia="zh-CN"/>
          <w14:textFill>
            <w14:solidFill>
              <w14:schemeClr w14:val="tx1"/>
            </w14:solidFill>
          </w14:textFill>
        </w:rPr>
        <w:t>Mn</w:t>
      </w:r>
      <w:r>
        <w:rPr>
          <w:rFonts w:hint="eastAsia" w:ascii="Times New Roman" w:hAnsi="Times New Roman" w:cs="Times New Roman"/>
          <w:color w:val="000000" w:themeColor="text1"/>
          <w:highlight w:val="none"/>
          <w:lang w:val="en-US" w:eastAsia="zh-CN"/>
          <w14:textFill>
            <w14:solidFill>
              <w14:schemeClr w14:val="tx1"/>
            </w14:solidFill>
          </w14:textFill>
        </w:rPr>
        <w:t>法以O</w:t>
      </w:r>
      <w:r>
        <w:rPr>
          <w:rFonts w:hint="eastAsia" w:ascii="Times New Roman" w:hAnsi="Times New Roman" w:cs="Times New Roman"/>
          <w:color w:val="000000" w:themeColor="text1"/>
          <w:highlight w:val="none"/>
          <w:vertAlign w:val="subscript"/>
          <w:lang w:val="en-US" w:eastAsia="zh-CN"/>
          <w14:textFill>
            <w14:solidFill>
              <w14:schemeClr w14:val="tx1"/>
            </w14:solidFill>
          </w14:textFill>
        </w:rPr>
        <w:t>2</w:t>
      </w:r>
      <w:r>
        <w:rPr>
          <w:rFonts w:hint="eastAsia" w:ascii="Times New Roman" w:hAnsi="Times New Roman" w:cs="Times New Roman"/>
          <w:color w:val="000000" w:themeColor="text1"/>
          <w:highlight w:val="none"/>
          <w:lang w:val="en-US" w:eastAsia="zh-CN"/>
          <w14:textFill>
            <w14:solidFill>
              <w14:schemeClr w14:val="tx1"/>
            </w14:solidFill>
          </w14:textFill>
        </w:rPr>
        <w:t>计）</w:t>
      </w:r>
      <w:r>
        <w:rPr>
          <w:rFonts w:hint="eastAsia"/>
          <w:color w:val="000000" w:themeColor="text1"/>
          <w:lang w:val="en-US" w:eastAsia="zh-CN"/>
          <w14:textFill>
            <w14:solidFill>
              <w14:schemeClr w14:val="tx1"/>
            </w14:solidFill>
          </w14:textFill>
        </w:rPr>
        <w:t>、氨氮、锰、钠浓度超出《地下水质量标准》（GB/T 14848-2017）Ⅲ类标准；pH、挥发酚、阴离子表面活性剂、硝酸盐（以N计）、亚硝酸盐（以N计）、铁、铜、锌等检测因子的浓度满足《地下水质量标准》（GB/T 14848-2017）Ⅲ类标准。</w:t>
      </w:r>
    </w:p>
    <w:p>
      <w:pPr>
        <w:bidi w:val="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①总硬度、溶解性总固体、硫酸盐、氯化物、钠超标原因分析：</w:t>
      </w:r>
    </w:p>
    <w:p>
      <w:pPr>
        <w:bidi w:val="0"/>
        <w:rPr>
          <w:rFonts w:hint="eastAsia"/>
          <w:color w:val="000000" w:themeColor="text1"/>
          <w:highlight w:val="none"/>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将地块内地下水检测结果与背景点地下水检测结果进行对比分析认为：地块内地下水总硬度、溶解性总固体、硫酸盐、氯化物、钠超标超标属于自然原因，该地块处于沧州地区地势平缓，潜层地下水开采层为第一含水组，地下水埋深较浅，排泄方式主要为潜水蒸发，侧向径流微弱，土壤中矿</w:t>
      </w:r>
      <w:r>
        <w:rPr>
          <w:rFonts w:hint="eastAsia"/>
          <w:color w:val="000000" w:themeColor="text1"/>
          <w:highlight w:val="none"/>
          <w:lang w:val="en-US" w:eastAsia="zh-CN"/>
          <w14:textFill>
            <w14:solidFill>
              <w14:schemeClr w14:val="tx1"/>
            </w14:solidFill>
          </w14:textFill>
        </w:rPr>
        <w:t>物成分经过不断风化、淋溶，造成地下水化学成分逐渐增多所致。</w:t>
      </w:r>
    </w:p>
    <w:p>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outlineLvl w:val="9"/>
        <w:rPr>
          <w:rFonts w:hint="default" w:ascii="Times New Roman" w:hAnsi="Times New Roman" w:cs="Times New Roman"/>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②锰超标原因分析：</w:t>
      </w:r>
    </w:p>
    <w:p>
      <w:pPr>
        <w:bidi w:val="0"/>
        <w:rPr>
          <w:rFonts w:hint="default"/>
          <w:color w:val="000000" w:themeColor="text1"/>
          <w:highlight w:val="yellow"/>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将地块内地下水检测结果与地表水检测结果进行对比，地表水中锰的检出浓度为</w:t>
      </w:r>
      <w:r>
        <w:rPr>
          <w:rFonts w:hint="eastAsia"/>
          <w:color w:val="000000" w:themeColor="text1"/>
          <w:highlight w:val="none"/>
          <w:lang w:val="en-US" w:eastAsia="zh-CN"/>
          <w14:textFill>
            <w14:solidFill>
              <w14:schemeClr w14:val="tx1"/>
            </w14:solidFill>
          </w14:textFill>
        </w:rPr>
        <w:t>480</w:t>
      </w:r>
      <w:r>
        <w:rPr>
          <w:rFonts w:hint="default"/>
          <w:color w:val="000000" w:themeColor="text1"/>
          <w:highlight w:val="none"/>
          <w:lang w:val="en-US" w:eastAsia="zh-CN"/>
          <w14:textFill>
            <w14:solidFill>
              <w14:schemeClr w14:val="tx1"/>
            </w14:solidFill>
          </w14:textFill>
        </w:rPr>
        <w:t>μg/L</w:t>
      </w:r>
      <w:r>
        <w:rPr>
          <w:rFonts w:hint="eastAsia"/>
          <w:color w:val="000000" w:themeColor="text1"/>
          <w:highlight w:val="none"/>
          <w:lang w:val="en-US" w:eastAsia="zh-CN"/>
          <w14:textFill>
            <w14:solidFill>
              <w14:schemeClr w14:val="tx1"/>
            </w14:solidFill>
          </w14:textFill>
        </w:rPr>
        <w:t>-512</w:t>
      </w:r>
      <w:r>
        <w:rPr>
          <w:rFonts w:hint="default"/>
          <w:color w:val="000000" w:themeColor="text1"/>
          <w:highlight w:val="none"/>
          <w:lang w:val="en-US" w:eastAsia="zh-CN"/>
          <w14:textFill>
            <w14:solidFill>
              <w14:schemeClr w14:val="tx1"/>
            </w14:solidFill>
          </w14:textFill>
        </w:rPr>
        <w:t>μg/L，与本地块锰含量</w:t>
      </w:r>
      <w:r>
        <w:rPr>
          <w:rFonts w:hint="eastAsia"/>
          <w:color w:val="000000" w:themeColor="text1"/>
          <w:highlight w:val="none"/>
          <w:lang w:val="en-US" w:eastAsia="zh-CN"/>
          <w14:textFill>
            <w14:solidFill>
              <w14:schemeClr w14:val="tx1"/>
            </w14:solidFill>
          </w14:textFill>
        </w:rPr>
        <w:t>664</w:t>
      </w:r>
      <w:r>
        <w:rPr>
          <w:rFonts w:hint="default"/>
          <w:color w:val="000000" w:themeColor="text1"/>
          <w:highlight w:val="none"/>
          <w:lang w:val="en-US" w:eastAsia="zh-CN"/>
          <w14:textFill>
            <w14:solidFill>
              <w14:schemeClr w14:val="tx1"/>
            </w14:solidFill>
          </w14:textFill>
        </w:rPr>
        <w:t>μg/L处于同一水平，综上分析认为锰超标</w:t>
      </w:r>
      <w:r>
        <w:rPr>
          <w:rFonts w:hint="eastAsia"/>
          <w:color w:val="000000" w:themeColor="text1"/>
          <w:highlight w:val="none"/>
          <w:lang w:val="en-US" w:eastAsia="zh-CN"/>
          <w14:textFill>
            <w14:solidFill>
              <w14:schemeClr w14:val="tx1"/>
            </w14:solidFill>
          </w14:textFill>
        </w:rPr>
        <w:t>可能与南侧</w:t>
      </w:r>
      <w:r>
        <w:rPr>
          <w:rFonts w:hint="eastAsia" w:cs="Times New Roman"/>
          <w:color w:val="000000" w:themeColor="text1"/>
          <w:highlight w:val="none"/>
          <w:lang w:eastAsia="zh-CN"/>
          <w14:textFill>
            <w14:solidFill>
              <w14:schemeClr w14:val="tx1"/>
            </w14:solidFill>
          </w14:textFill>
        </w:rPr>
        <w:t>雨水坑中的污水迁移有关。</w:t>
      </w:r>
    </w:p>
    <w:p>
      <w:pPr>
        <w:bidi w:val="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③耗氧量超标原因分析：</w:t>
      </w:r>
    </w:p>
    <w:p>
      <w:pPr>
        <w:bidi w:val="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将地块内地下水检测结果与南侧雨水坑地表水高锰酸盐指数的检出浓度进行对比，地块内耗氧量检出浓度为7.3mg/L，地表水高猛酸钾指数检出浓度为9.39-9.9mg/L，分析认为生活污水中的耗氧污染物随地下水迁移至本地块可能导致地块内地下水中的耗氧量偏高。</w:t>
      </w:r>
    </w:p>
    <w:p>
      <w:pPr>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（2）特征因子检出结果分析</w:t>
      </w:r>
    </w:p>
    <w:p>
      <w:pPr>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①氟化物</w:t>
      </w:r>
    </w:p>
    <w:p>
      <w:pPr>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将地块内与背景点地下水氟化物检测结果进行对比，地下水中</w:t>
      </w:r>
      <w:r>
        <w:rPr>
          <w:rFonts w:hint="eastAsia"/>
          <w:color w:val="000000" w:themeColor="text1"/>
          <w:highlight w:val="none"/>
          <w:lang w:val="en-US" w:eastAsia="zh-CN"/>
          <w14:textFill>
            <w14:solidFill>
              <w14:schemeClr w14:val="tx1"/>
            </w14:solidFill>
          </w14:textFill>
        </w:rPr>
        <w:t>氟化物的检测结果超出《地下水质量标准》（GB/T 14848-2017）Ⅲ类标准，</w:t>
      </w:r>
      <w:r>
        <w:rPr>
          <w:rFonts w:hint="eastAsia"/>
          <w:color w:val="000000" w:themeColor="text1"/>
          <w:lang w:val="en-US" w:eastAsia="zh-CN"/>
          <w14:textFill>
            <w14:solidFill>
              <w14:schemeClr w14:val="tx1"/>
            </w14:solidFill>
          </w14:textFill>
        </w:rPr>
        <w:t>根据《沧州地区地下水氟化物分布特征及治理对策浅析》（沧州市环境监测站）沧州地下水中，氟的富积面极广，广泛分布在沧州各县市区，沧县属于氟骨症区，含氟量＞4mg/L，因此本地区地下水中氟化物含量偏高属于区域自然原因。</w:t>
      </w:r>
    </w:p>
    <w:p>
      <w:pPr>
        <w:bidi w:val="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②硫化物</w:t>
      </w:r>
    </w:p>
    <w:p>
      <w:pPr>
        <w:bidi w:val="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根据地下水样品检测结果，地下水中硫化物未检出。</w:t>
      </w:r>
    </w:p>
    <w:p>
      <w:pPr>
        <w:bidi w:val="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③多环芳烃</w:t>
      </w:r>
    </w:p>
    <w:p>
      <w:pPr>
        <w:bidi w:val="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根据地下水样品检测结果，地下水中多环芳烃苯并[b]荧蒽有检出，但检出浓度远低于《地下水质量标准》（GB/T 14848-2017）Ⅲ类标准；二苯并[a,h]蒽、茚并[1,2,3-cd]芘检出浓度远低于《美国EPA通用土壤筛选值》地下水浓度限值。</w:t>
      </w:r>
      <w:r>
        <w:rPr>
          <w:rFonts w:hint="eastAsia"/>
          <w:color w:val="000000" w:themeColor="text1"/>
          <w:highlight w:val="none"/>
          <w:lang w:val="en-US" w:eastAsia="zh-CN"/>
          <w14:textFill>
            <w14:solidFill>
              <w14:schemeClr w14:val="tx1"/>
            </w14:solidFill>
          </w14:textFill>
        </w:rPr>
        <w:t>土壤、地表水及背景点地下水中均有多环芳烃类有检出，但检出检出浓度较低，</w:t>
      </w:r>
      <w:r>
        <w:rPr>
          <w:rFonts w:hint="eastAsia" w:cs="Times New Roman"/>
          <w:color w:val="000000" w:themeColor="text1"/>
          <w:highlight w:val="none"/>
          <w:lang w:eastAsia="zh-CN"/>
          <w14:textFill>
            <w14:solidFill>
              <w14:schemeClr w14:val="tx1"/>
            </w14:solidFill>
          </w14:textFill>
        </w:rPr>
        <w:t>考虑与砖窑厂取土坑历史纳污后土壤回填扰动有关，也可能与</w:t>
      </w:r>
      <w:r>
        <w:rPr>
          <w:rFonts w:hint="eastAsia"/>
          <w:color w:val="000000" w:themeColor="text1"/>
          <w:lang w:val="en-US" w:eastAsia="zh-CN"/>
          <w14:textFill>
            <w14:solidFill>
              <w14:schemeClr w14:val="tx1"/>
            </w14:solidFill>
          </w14:textFill>
        </w:rPr>
        <w:t>南侧雨水坑历史上接纳含有多环芳烃的的生活污水后经迁移有关。</w:t>
      </w:r>
      <w:r>
        <w:rPr>
          <w:rFonts w:hint="eastAsia" w:cs="Times New Roman"/>
          <w:color w:val="000000" w:themeColor="text1"/>
          <w:highlight w:val="none"/>
          <w:lang w:eastAsia="zh-CN"/>
          <w14:textFill>
            <w14:solidFill>
              <w14:schemeClr w14:val="tx1"/>
            </w14:solidFill>
          </w14:textFill>
        </w:rPr>
        <w:t>。</w:t>
      </w:r>
    </w:p>
    <w:p>
      <w:pPr>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④</w:t>
      </w:r>
      <w:r>
        <w:rPr>
          <w:rFonts w:hint="eastAsia"/>
          <w:color w:val="000000" w:themeColor="text1"/>
          <w:lang w:val="en-US" w:eastAsia="zh-CN"/>
          <w14:textFill>
            <w14:solidFill>
              <w14:schemeClr w14:val="tx1"/>
            </w14:solidFill>
          </w14:textFill>
        </w:rPr>
        <w:t>酚类化合物</w:t>
      </w:r>
    </w:p>
    <w:p>
      <w:pPr>
        <w:bidi w:val="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根据地下水样品检测结果，地下水中的苯酚、2,4-二氯苯酚、2,4-二甲酚检出浓度远低于《美国EPA通用土壤筛选值》地下水中相关因子的浓度限值，4-氯苯酚的检出浓度远低于《建设用地土壤污染风险评估技术导则》(HJ 25.3-2019)推导值。背景点地下水中有2,4-二氯苯酚检出检出浓度为0.6μg/L（检出限为0.2μg/L），检出浓度很小，分析认为，地块内部分酚类化合物有检出可能是由于历史生产活动影响导致，也可能与生活污水中含酚类化合物的洗涤剂有关。</w:t>
      </w:r>
    </w:p>
    <w:p>
      <w:pPr>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⑤氨氮</w:t>
      </w:r>
    </w:p>
    <w:p>
      <w:pPr>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根据地下水样品检测结果，地下水中的氨氮检出浓度为23.5mg/L，南侧雨水坑地表水氨氮检出浓度26.6-32.5</w:t>
      </w: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mg/L</w:t>
      </w:r>
      <w:r>
        <w:rPr>
          <w:rFonts w:hint="eastAsia"/>
          <w:color w:val="000000" w:themeColor="text1"/>
          <w:highlight w:val="none"/>
          <w:lang w:val="en-US" w:eastAsia="zh-CN"/>
          <w14:textFill>
            <w14:solidFill>
              <w14:schemeClr w14:val="tx1"/>
            </w14:solidFill>
          </w14:textFill>
        </w:rPr>
        <w:t>之间。</w:t>
      </w:r>
      <w:r>
        <w:rPr>
          <w:rFonts w:hint="eastAsia"/>
          <w:color w:val="000000" w:themeColor="text1"/>
          <w:highlight w:val="none"/>
          <w:lang w:val="en-US" w:eastAsia="zh-CN"/>
          <w14:textFill>
            <w14:solidFill>
              <w14:schemeClr w14:val="tx1"/>
            </w14:solidFill>
          </w14:textFill>
        </w:rPr>
        <w:t>地块内地下水与南侧污水坑存在一定的水力联系，丰水期地表水水位较高，地表水补给地下水，生活污水中的氨氮随地下水迁移至本地块可能导致地块内地下水中的氨氮偏高。</w:t>
      </w:r>
    </w:p>
    <w:p>
      <w:pPr>
        <w:pStyle w:val="9"/>
        <w:rPr>
          <w:rFonts w:hint="eastAsia"/>
          <w:color w:val="000000" w:themeColor="text1"/>
          <w:lang w:val="en-US" w:eastAsia="zh-CN"/>
          <w14:textFill>
            <w14:solidFill>
              <w14:schemeClr w14:val="tx1"/>
            </w14:solidFill>
          </w14:textFill>
        </w:rPr>
      </w:pPr>
    </w:p>
    <w:p>
      <w:pPr>
        <w:pStyle w:val="5"/>
        <w:bidi w:val="0"/>
        <w:rPr>
          <w:rFonts w:hint="default" w:ascii="Times New Roman" w:hAnsi="Times New Roman" w:eastAsia="宋体" w:cs="Times New Roman"/>
          <w:color w:val="000000" w:themeColor="text1"/>
          <w:highlight w:val="none"/>
          <w:lang w:val="en-US" w:eastAsia="zh-CN"/>
          <w14:textFill>
            <w14:solidFill>
              <w14:schemeClr w14:val="tx1"/>
            </w14:solidFill>
          </w14:textFill>
        </w:rPr>
      </w:pPr>
      <w:bookmarkStart w:id="20" w:name="_Toc2632"/>
      <w:r>
        <w:rPr>
          <w:rFonts w:hint="default" w:ascii="Times New Roman" w:hAnsi="Times New Roman" w:eastAsia="宋体" w:cs="Times New Roman"/>
          <w:color w:val="000000" w:themeColor="text1"/>
          <w:highlight w:val="none"/>
          <w:lang w:val="en-US" w:eastAsia="zh-CN"/>
          <w14:textFill>
            <w14:solidFill>
              <w14:schemeClr w14:val="tx1"/>
            </w14:solidFill>
          </w14:textFill>
        </w:rPr>
        <w:t>4 调查结论</w:t>
      </w:r>
      <w:bookmarkEnd w:id="14"/>
      <w:bookmarkEnd w:id="15"/>
      <w:bookmarkEnd w:id="16"/>
      <w:bookmarkEnd w:id="17"/>
      <w:bookmarkEnd w:id="18"/>
      <w:bookmarkEnd w:id="19"/>
      <w:bookmarkEnd w:id="20"/>
    </w:p>
    <w:p>
      <w:pPr>
        <w:rPr>
          <w:rFonts w:hint="eastAsia"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根据地块土壤样品检测结果，地块内</w:t>
      </w:r>
      <w:r>
        <w:rPr>
          <w:rFonts w:hint="default" w:ascii="Times New Roman" w:hAnsi="Times New Roman" w:cs="Times New Roman"/>
          <w:color w:val="000000" w:themeColor="text1"/>
          <w:highlight w:val="none"/>
          <w:lang w:eastAsia="zh-CN"/>
          <w14:textFill>
            <w14:solidFill>
              <w14:schemeClr w14:val="tx1"/>
            </w14:solidFill>
          </w14:textFill>
        </w:rPr>
        <w:t>测定的</w:t>
      </w:r>
      <w:r>
        <w:rPr>
          <w:rFonts w:hint="eastAsia" w:cs="Times New Roman"/>
          <w:color w:val="000000" w:themeColor="text1"/>
          <w:highlight w:val="none"/>
          <w:lang w:val="en-US" w:eastAsia="zh-CN"/>
          <w14:textFill>
            <w14:solidFill>
              <w14:schemeClr w14:val="tx1"/>
            </w14:solidFill>
          </w14:textFill>
        </w:rPr>
        <w:t>5</w:t>
      </w:r>
      <w:r>
        <w:rPr>
          <w:rFonts w:hint="default" w:ascii="Times New Roman" w:hAnsi="Times New Roman" w:cs="Times New Roman"/>
          <w:color w:val="000000" w:themeColor="text1"/>
          <w:highlight w:val="none"/>
          <w:lang w:val="en-US" w:eastAsia="zh-CN"/>
          <w14:textFill>
            <w14:solidFill>
              <w14:schemeClr w14:val="tx1"/>
            </w14:solidFill>
          </w14:textFill>
        </w:rPr>
        <w:t>个</w:t>
      </w:r>
      <w:r>
        <w:rPr>
          <w:rFonts w:hint="default" w:cs="Times New Roman"/>
          <w:color w:val="000000" w:themeColor="text1"/>
          <w:highlight w:val="none"/>
          <w:lang w:val="en-US" w:eastAsia="zh-CN"/>
          <w14:textFill>
            <w14:solidFill>
              <w14:schemeClr w14:val="tx1"/>
            </w14:solidFill>
          </w14:textFill>
        </w:rPr>
        <w:t>采样</w:t>
      </w:r>
      <w:r>
        <w:rPr>
          <w:rFonts w:hint="default" w:ascii="Times New Roman" w:hAnsi="Times New Roman" w:cs="Times New Roman"/>
          <w:color w:val="000000" w:themeColor="text1"/>
          <w:highlight w:val="none"/>
          <w:lang w:val="en-US" w:eastAsia="zh-CN"/>
          <w14:textFill>
            <w14:solidFill>
              <w14:schemeClr w14:val="tx1"/>
            </w14:solidFill>
          </w14:textFill>
        </w:rPr>
        <w:t>点位</w:t>
      </w:r>
      <w:r>
        <w:rPr>
          <w:rFonts w:hint="eastAsia" w:cs="Times New Roman"/>
          <w:color w:val="000000" w:themeColor="text1"/>
          <w:highlight w:val="none"/>
          <w:lang w:val="en-US" w:eastAsia="zh-CN"/>
          <w14:textFill>
            <w14:solidFill>
              <w14:schemeClr w14:val="tx1"/>
            </w14:solidFill>
          </w14:textFill>
        </w:rPr>
        <w:t>29</w:t>
      </w:r>
      <w:r>
        <w:rPr>
          <w:rFonts w:hint="default" w:cs="Times New Roman"/>
          <w:color w:val="000000" w:themeColor="text1"/>
          <w:highlight w:val="none"/>
          <w:lang w:val="en-US" w:eastAsia="zh-CN"/>
          <w14:textFill>
            <w14:solidFill>
              <w14:schemeClr w14:val="tx1"/>
            </w14:solidFill>
          </w14:textFill>
        </w:rPr>
        <w:t>个样品中，</w:t>
      </w:r>
      <w:r>
        <w:rPr>
          <w:rFonts w:hint="default" w:ascii="Times New Roman" w:hAnsi="Times New Roman" w:cs="Times New Roman"/>
          <w:color w:val="000000" w:themeColor="text1"/>
          <w:highlight w:val="none"/>
          <w14:textFill>
            <w14:solidFill>
              <w14:schemeClr w14:val="tx1"/>
            </w14:solidFill>
          </w14:textFill>
        </w:rPr>
        <w:t>所有</w:t>
      </w:r>
      <w:r>
        <w:rPr>
          <w:rFonts w:hint="default" w:ascii="Times New Roman" w:hAnsi="Times New Roman" w:cs="Times New Roman"/>
          <w:color w:val="000000" w:themeColor="text1"/>
          <w:highlight w:val="none"/>
          <w:lang w:eastAsia="zh-CN"/>
          <w14:textFill>
            <w14:solidFill>
              <w14:schemeClr w14:val="tx1"/>
            </w14:solidFill>
          </w14:textFill>
        </w:rPr>
        <w:t>土壤样品</w:t>
      </w:r>
      <w:r>
        <w:rPr>
          <w:rFonts w:hint="default" w:ascii="Times New Roman" w:hAnsi="Times New Roman" w:cs="Times New Roman"/>
          <w:color w:val="000000" w:themeColor="text1"/>
          <w:highlight w:val="none"/>
          <w14:textFill>
            <w14:solidFill>
              <w14:schemeClr w14:val="tx1"/>
            </w14:solidFill>
          </w14:textFill>
        </w:rPr>
        <w:t>重金属因子</w:t>
      </w:r>
      <w:r>
        <w:rPr>
          <w:rFonts w:hint="eastAsia" w:cs="Times New Roman"/>
          <w:color w:val="000000" w:themeColor="text1"/>
          <w:highlight w:val="none"/>
          <w:lang w:eastAsia="zh-CN"/>
          <w14:textFill>
            <w14:solidFill>
              <w14:schemeClr w14:val="tx1"/>
            </w14:solidFill>
          </w14:textFill>
        </w:rPr>
        <w:t>、氟化物及氨氮</w:t>
      </w:r>
      <w:r>
        <w:rPr>
          <w:rFonts w:hint="default" w:ascii="Times New Roman" w:hAnsi="Times New Roman" w:cs="Times New Roman"/>
          <w:color w:val="000000" w:themeColor="text1"/>
          <w:highlight w:val="none"/>
          <w14:textFill>
            <w14:solidFill>
              <w14:schemeClr w14:val="tx1"/>
            </w14:solidFill>
          </w14:textFill>
        </w:rPr>
        <w:t>均有检出</w:t>
      </w:r>
      <w:r>
        <w:rPr>
          <w:rFonts w:hint="default" w:ascii="Times New Roman" w:hAnsi="Times New Roman" w:cs="Times New Roman"/>
          <w:color w:val="000000" w:themeColor="text1"/>
          <w:highlight w:val="none"/>
          <w:lang w:eastAsia="zh-CN"/>
          <w14:textFill>
            <w14:solidFill>
              <w14:schemeClr w14:val="tx1"/>
            </w14:solidFill>
          </w14:textFill>
        </w:rPr>
        <w:t>，但</w:t>
      </w:r>
      <w:r>
        <w:rPr>
          <w:rFonts w:hint="default" w:ascii="Times New Roman" w:hAnsi="Times New Roman" w:cs="Times New Roman"/>
          <w:color w:val="000000" w:themeColor="text1"/>
          <w:highlight w:val="none"/>
          <w14:textFill>
            <w14:solidFill>
              <w14:schemeClr w14:val="tx1"/>
            </w14:solidFill>
          </w14:textFill>
        </w:rPr>
        <w:t>各</w:t>
      </w:r>
      <w:r>
        <w:rPr>
          <w:rFonts w:hint="default" w:ascii="Times New Roman" w:hAnsi="Times New Roman" w:cs="Times New Roman"/>
          <w:color w:val="000000" w:themeColor="text1"/>
          <w:highlight w:val="none"/>
          <w:lang w:eastAsia="zh-CN"/>
          <w14:textFill>
            <w14:solidFill>
              <w14:schemeClr w14:val="tx1"/>
            </w14:solidFill>
          </w14:textFill>
        </w:rPr>
        <w:t>检出</w:t>
      </w:r>
      <w:r>
        <w:rPr>
          <w:rFonts w:hint="default" w:ascii="Times New Roman" w:hAnsi="Times New Roman" w:cs="Times New Roman"/>
          <w:color w:val="000000" w:themeColor="text1"/>
          <w:highlight w:val="none"/>
          <w14:textFill>
            <w14:solidFill>
              <w14:schemeClr w14:val="tx1"/>
            </w14:solidFill>
          </w14:textFill>
        </w:rPr>
        <w:t>因子的最大浓度均未超过本</w:t>
      </w:r>
      <w:r>
        <w:rPr>
          <w:rFonts w:hint="default" w:cs="Times New Roman"/>
          <w:color w:val="000000" w:themeColor="text1"/>
          <w:highlight w:val="none"/>
          <w:lang w:eastAsia="zh-CN"/>
          <w14:textFill>
            <w14:solidFill>
              <w14:schemeClr w14:val="tx1"/>
            </w14:solidFill>
          </w14:textFill>
        </w:rPr>
        <w:t>地块土壤</w:t>
      </w:r>
      <w:r>
        <w:rPr>
          <w:rFonts w:hint="default" w:ascii="Times New Roman" w:hAnsi="Times New Roman" w:cs="Times New Roman"/>
          <w:color w:val="000000" w:themeColor="text1"/>
          <w:highlight w:val="none"/>
          <w14:textFill>
            <w14:solidFill>
              <w14:schemeClr w14:val="tx1"/>
            </w14:solidFill>
          </w14:textFill>
        </w:rPr>
        <w:t>调查所选用的筛选值</w:t>
      </w:r>
      <w:r>
        <w:rPr>
          <w:rFonts w:hint="eastAsia" w:cs="Times New Roman"/>
          <w:color w:val="000000" w:themeColor="text1"/>
          <w:highlight w:val="none"/>
          <w:lang w:eastAsia="zh-CN"/>
          <w14:textFill>
            <w14:solidFill>
              <w14:schemeClr w14:val="tx1"/>
            </w14:solidFill>
          </w14:textFill>
        </w:rPr>
        <w:t>；土壤中测定的</w:t>
      </w:r>
      <w:r>
        <w:rPr>
          <w:rFonts w:hint="default" w:ascii="Times New Roman" w:hAnsi="Times New Roman" w:cs="Times New Roman"/>
          <w:color w:val="000000" w:themeColor="text1"/>
          <w:highlight w:val="none"/>
          <w:lang w:eastAsia="zh-CN"/>
          <w14:textFill>
            <w14:solidFill>
              <w14:schemeClr w14:val="tx1"/>
            </w14:solidFill>
          </w14:textFill>
        </w:rPr>
        <w:t>六价铬</w:t>
      </w:r>
      <w:r>
        <w:rPr>
          <w:rFonts w:hint="eastAsia" w:ascii="Times New Roman" w:hAnsi="Times New Roman" w:cs="Times New Roman"/>
          <w:color w:val="000000" w:themeColor="text1"/>
          <w:highlight w:val="none"/>
          <w:lang w:eastAsia="zh-CN"/>
          <w14:textFill>
            <w14:solidFill>
              <w14:schemeClr w14:val="tx1"/>
            </w14:solidFill>
          </w14:textFill>
        </w:rPr>
        <w:t>、</w:t>
      </w:r>
      <w:r>
        <w:rPr>
          <w:rFonts w:hint="eastAsia" w:cs="Times New Roman"/>
          <w:color w:val="000000" w:themeColor="text1"/>
          <w:lang w:eastAsia="zh-CN"/>
          <w14:textFill>
            <w14:solidFill>
              <w14:schemeClr w14:val="tx1"/>
            </w14:solidFill>
          </w14:textFill>
        </w:rPr>
        <w:t>对氨基苯酚、</w:t>
      </w:r>
      <w:r>
        <w:rPr>
          <w:rFonts w:hint="default" w:ascii="Times New Roman" w:hAnsi="Times New Roman" w:cs="Times New Roman"/>
          <w:color w:val="000000" w:themeColor="text1"/>
          <w:highlight w:val="none"/>
          <w:lang w:val="en-US" w:eastAsia="zh-CN"/>
          <w14:textFill>
            <w14:solidFill>
              <w14:schemeClr w14:val="tx1"/>
            </w14:solidFill>
          </w14:textFill>
        </w:rPr>
        <w:t>VOCs</w:t>
      </w:r>
      <w:r>
        <w:rPr>
          <w:rFonts w:hint="default" w:cs="Times New Roman"/>
          <w:color w:val="000000" w:themeColor="text1"/>
          <w:highlight w:val="none"/>
          <w:lang w:val="en-US" w:eastAsia="zh-CN"/>
          <w14:textFill>
            <w14:solidFill>
              <w14:schemeClr w14:val="tx1"/>
            </w14:solidFill>
          </w14:textFill>
        </w:rPr>
        <w:t>全部未检出</w:t>
      </w:r>
      <w:r>
        <w:rPr>
          <w:rFonts w:hint="eastAsia" w:cs="Times New Roman"/>
          <w:color w:val="000000" w:themeColor="text1"/>
          <w:highlight w:val="none"/>
          <w:lang w:val="en-US" w:eastAsia="zh-CN"/>
          <w14:textFill>
            <w14:solidFill>
              <w14:schemeClr w14:val="tx1"/>
            </w14:solidFill>
          </w14:textFill>
        </w:rPr>
        <w:t>；土壤中测定的</w:t>
      </w:r>
      <w:r>
        <w:rPr>
          <w:rFonts w:hint="default" w:ascii="Times New Roman" w:hAnsi="Times New Roman" w:cs="Times New Roman"/>
          <w:color w:val="000000" w:themeColor="text1"/>
          <w:highlight w:val="none"/>
          <w:lang w:val="en-US" w:eastAsia="zh-CN"/>
          <w14:textFill>
            <w14:solidFill>
              <w14:schemeClr w14:val="tx1"/>
            </w14:solidFill>
          </w14:textFill>
        </w:rPr>
        <w:t>SVOCs</w:t>
      </w:r>
      <w:r>
        <w:rPr>
          <w:rFonts w:hint="eastAsia" w:cs="Times New Roman"/>
          <w:color w:val="000000" w:themeColor="text1"/>
          <w:highlight w:val="none"/>
          <w:lang w:val="en-US" w:eastAsia="zh-CN"/>
          <w14:textFill>
            <w14:solidFill>
              <w14:schemeClr w14:val="tx1"/>
            </w14:solidFill>
          </w14:textFill>
        </w:rPr>
        <w:t>只有C1点位5.4m处苯并[a]芘有检出，检出浓度为0.4mg/kg</w:t>
      </w:r>
      <w:r>
        <w:rPr>
          <w:rFonts w:hint="eastAsia" w:cs="Times New Roman"/>
          <w:color w:val="000000" w:themeColor="text1"/>
          <w:lang w:val="en-US" w:eastAsia="zh-CN"/>
          <w14:textFill>
            <w14:solidFill>
              <w14:schemeClr w14:val="tx1"/>
            </w14:solidFill>
          </w14:textFill>
        </w:rPr>
        <w:t>（检出限为0.1mg/kg）</w:t>
      </w:r>
      <w:r>
        <w:rPr>
          <w:rFonts w:hint="eastAsia" w:cs="Times New Roman"/>
          <w:color w:val="000000" w:themeColor="text1"/>
          <w:highlight w:val="none"/>
          <w:lang w:val="en-US" w:eastAsia="zh-CN"/>
          <w14:textFill>
            <w14:solidFill>
              <w14:schemeClr w14:val="tx1"/>
            </w14:solidFill>
          </w14:textFill>
        </w:rPr>
        <w:t>，未超过</w:t>
      </w:r>
      <w:r>
        <w:rPr>
          <w:rFonts w:hint="default" w:ascii="Times New Roman" w:hAnsi="Times New Roman" w:cs="Times New Roman"/>
          <w:color w:val="000000" w:themeColor="text1"/>
          <w:highlight w:val="none"/>
          <w14:textFill>
            <w14:solidFill>
              <w14:schemeClr w14:val="tx1"/>
            </w14:solidFill>
          </w14:textFill>
        </w:rPr>
        <w:t>本次</w:t>
      </w:r>
      <w:r>
        <w:rPr>
          <w:rFonts w:hint="default" w:ascii="Times New Roman" w:hAnsi="Times New Roman" w:cs="Times New Roman"/>
          <w:color w:val="000000" w:themeColor="text1"/>
          <w:highlight w:val="none"/>
          <w:lang w:eastAsia="zh-CN"/>
          <w14:textFill>
            <w14:solidFill>
              <w14:schemeClr w14:val="tx1"/>
            </w14:solidFill>
          </w14:textFill>
        </w:rPr>
        <w:t>地块土壤污染</w:t>
      </w:r>
      <w:r>
        <w:rPr>
          <w:rFonts w:hint="default" w:ascii="Times New Roman" w:hAnsi="Times New Roman" w:cs="Times New Roman"/>
          <w:color w:val="000000" w:themeColor="text1"/>
          <w:highlight w:val="none"/>
          <w14:textFill>
            <w14:solidFill>
              <w14:schemeClr w14:val="tx1"/>
            </w14:solidFill>
          </w14:textFill>
        </w:rPr>
        <w:t>环境调查所选用的筛选值</w:t>
      </w:r>
      <w:r>
        <w:rPr>
          <w:rFonts w:hint="eastAsia" w:cs="Times New Roman"/>
          <w:color w:val="000000" w:themeColor="text1"/>
          <w:highlight w:val="none"/>
          <w:lang w:val="en-US" w:eastAsia="zh-CN"/>
          <w14:textFill>
            <w14:solidFill>
              <w14:schemeClr w14:val="tx1"/>
            </w14:solidFill>
          </w14:textFill>
        </w:rPr>
        <w:t>；所有土壤样品的检测结果均</w:t>
      </w:r>
      <w:r>
        <w:rPr>
          <w:rFonts w:hint="default" w:ascii="Times New Roman" w:hAnsi="Times New Roman" w:cs="Times New Roman"/>
          <w:color w:val="000000" w:themeColor="text1"/>
          <w14:textFill>
            <w14:solidFill>
              <w14:schemeClr w14:val="tx1"/>
            </w14:solidFill>
          </w14:textFill>
        </w:rPr>
        <w:t>满足《土壤环境质量 建设用地土壤污染风险管控标准（试行）》（GB 36600</w:t>
      </w:r>
      <w:r>
        <w:rPr>
          <w:rFonts w:hint="eastAsia" w:cs="Times New Roman"/>
          <w:color w:val="000000" w:themeColor="text1"/>
          <w:lang w:eastAsia="zh-CN"/>
          <w14:textFill>
            <w14:solidFill>
              <w14:schemeClr w14:val="tx1"/>
            </w14:solidFill>
          </w14:textFill>
        </w:rPr>
        <w:t>-</w:t>
      </w:r>
      <w:r>
        <w:rPr>
          <w:rFonts w:hint="default" w:ascii="Times New Roman" w:hAnsi="Times New Roman" w:cs="Times New Roman"/>
          <w:color w:val="000000" w:themeColor="text1"/>
          <w14:textFill>
            <w14:solidFill>
              <w14:schemeClr w14:val="tx1"/>
            </w14:solidFill>
          </w14:textFill>
        </w:rPr>
        <w:t>2018）中第</w:t>
      </w:r>
      <w:r>
        <w:rPr>
          <w:rFonts w:hint="eastAsia" w:cs="Times New Roman"/>
          <w:color w:val="000000" w:themeColor="text1"/>
          <w:lang w:eastAsia="zh-CN"/>
          <w14:textFill>
            <w14:solidFill>
              <w14:schemeClr w14:val="tx1"/>
            </w14:solidFill>
          </w14:textFill>
        </w:rPr>
        <w:t>一</w:t>
      </w:r>
      <w:r>
        <w:rPr>
          <w:rFonts w:hint="default" w:ascii="Times New Roman" w:hAnsi="Times New Roman" w:cs="Times New Roman"/>
          <w:color w:val="000000" w:themeColor="text1"/>
          <w14:textFill>
            <w14:solidFill>
              <w14:schemeClr w14:val="tx1"/>
            </w14:solidFill>
          </w14:textFill>
        </w:rPr>
        <w:t>类用地</w:t>
      </w:r>
      <w:r>
        <w:rPr>
          <w:rFonts w:hint="eastAsia" w:cs="Times New Roman"/>
          <w:color w:val="000000" w:themeColor="text1"/>
          <w:lang w:eastAsia="zh-CN"/>
          <w14:textFill>
            <w14:solidFill>
              <w14:schemeClr w14:val="tx1"/>
            </w14:solidFill>
          </w14:textFill>
        </w:rPr>
        <w:t>或</w:t>
      </w:r>
      <w:r>
        <w:rPr>
          <w:rFonts w:hint="default" w:ascii="Times New Roman" w:hAnsi="Times New Roman" w:cs="Times New Roman"/>
          <w:color w:val="000000" w:themeColor="text1"/>
          <w:lang w:eastAsia="zh-CN"/>
          <w14:textFill>
            <w14:solidFill>
              <w14:schemeClr w14:val="tx1"/>
            </w14:solidFill>
          </w14:textFill>
        </w:rPr>
        <w:t>《建设用地土壤污染风险筛选值》（DB13/T 5216-2020）表1中第一类用地</w:t>
      </w:r>
      <w:r>
        <w:rPr>
          <w:rFonts w:hint="eastAsia" w:cs="Times New Roman"/>
          <w:color w:val="000000" w:themeColor="text1"/>
          <w:lang w:eastAsia="zh-CN"/>
          <w14:textFill>
            <w14:solidFill>
              <w14:schemeClr w14:val="tx1"/>
            </w14:solidFill>
          </w14:textFill>
        </w:rPr>
        <w:t>的</w:t>
      </w:r>
      <w:r>
        <w:rPr>
          <w:rFonts w:hint="default" w:ascii="Times New Roman" w:hAnsi="Times New Roman" w:cs="Times New Roman"/>
          <w:color w:val="000000" w:themeColor="text1"/>
          <w14:textFill>
            <w14:solidFill>
              <w14:schemeClr w14:val="tx1"/>
            </w14:solidFill>
          </w14:textFill>
        </w:rPr>
        <w:t>相关标准</w:t>
      </w:r>
      <w:r>
        <w:rPr>
          <w:rFonts w:hint="eastAsia" w:cs="Times New Roman"/>
          <w:color w:val="000000" w:themeColor="text1"/>
          <w:lang w:eastAsia="zh-CN"/>
          <w14:textFill>
            <w14:solidFill>
              <w14:schemeClr w14:val="tx1"/>
            </w14:solidFill>
          </w14:textFill>
        </w:rPr>
        <w:t>。</w:t>
      </w:r>
    </w:p>
    <w:p>
      <w:pP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根据地下水样品检测结果，地下水中的总硬度、溶解性总固体、硫酸盐、氯化物、耗氧量、氨氮、锰、钠、</w:t>
      </w:r>
      <w:r>
        <w:rPr>
          <w:rFonts w:hint="eastAsia"/>
          <w:color w:val="000000" w:themeColor="text1"/>
          <w:highlight w:val="none"/>
          <w:lang w:val="en-US" w:eastAsia="zh-CN"/>
          <w14:textFill>
            <w14:solidFill>
              <w14:schemeClr w14:val="tx1"/>
            </w14:solidFill>
          </w14:textFill>
        </w:rPr>
        <w:t>氟化物</w:t>
      </w:r>
      <w:r>
        <w:rPr>
          <w:rFonts w:hint="eastAsia"/>
          <w:color w:val="000000" w:themeColor="text1"/>
          <w:lang w:val="en-US" w:eastAsia="zh-CN"/>
          <w14:textFill>
            <w14:solidFill>
              <w14:schemeClr w14:val="tx1"/>
            </w14:solidFill>
          </w14:textFill>
        </w:rPr>
        <w:t xml:space="preserve">浓度超出《地下水质量标准》（GB/T 14848-2017）Ⅲ类标准；其他因子满足《地下水质量标准》（GB/T 14848-2017）Ⅲ类标准、《美国EPA通用土壤筛选值》浓度限值及《建设用地土壤污染风险评估技术导则》(HJ 25.3-2019)推导值。                                                                                                                                                                                                                                                                                                                                                                                                                                                                                                             </w:t>
      </w:r>
    </w:p>
    <w:p>
      <w:pPr>
        <w:pStyle w:val="2"/>
        <w:rPr>
          <w:rFonts w:hint="eastAsia"/>
          <w:color w:val="000000" w:themeColor="text1"/>
          <w:lang w:val="en-US" w:eastAsia="zh-CN"/>
          <w14:textFill>
            <w14:solidFill>
              <w14:schemeClr w14:val="tx1"/>
            </w14:solidFill>
          </w14:textFill>
        </w:rPr>
      </w:pPr>
      <w:bookmarkStart w:id="21" w:name="_Toc30875"/>
      <w:bookmarkStart w:id="22" w:name="_Toc31760"/>
      <w:bookmarkStart w:id="23" w:name="_Toc29026"/>
      <w:bookmarkStart w:id="24" w:name="_Toc7090"/>
      <w:bookmarkStart w:id="25" w:name="_Toc12266"/>
      <w:bookmarkStart w:id="26" w:name="_Toc22256"/>
      <w:bookmarkStart w:id="27" w:name="_Toc3494"/>
      <w:bookmarkStart w:id="28" w:name="_Toc27609"/>
      <w:bookmarkStart w:id="29" w:name="_Toc16557"/>
      <w:bookmarkStart w:id="30" w:name="_Toc17273"/>
      <w:bookmarkStart w:id="31" w:name="_Toc2966"/>
      <w:r>
        <w:rPr>
          <w:rFonts w:hint="eastAsia"/>
          <w:color w:val="000000" w:themeColor="text1"/>
          <w:lang w:val="en-US" w:eastAsia="zh-CN"/>
          <w14:textFill>
            <w14:solidFill>
              <w14:schemeClr w14:val="tx1"/>
            </w14:solidFill>
          </w14:textFill>
        </w:rPr>
        <w:t>地块区域地下水中总硬度、溶解性总固体、硫酸盐、氯化物、耗氧量、氨氮、锰、钠、</w:t>
      </w:r>
      <w:r>
        <w:rPr>
          <w:rFonts w:hint="eastAsia"/>
          <w:color w:val="000000" w:themeColor="text1"/>
          <w:highlight w:val="none"/>
          <w:lang w:val="en-US" w:eastAsia="zh-CN"/>
          <w14:textFill>
            <w14:solidFill>
              <w14:schemeClr w14:val="tx1"/>
            </w14:solidFill>
          </w14:textFill>
        </w:rPr>
        <w:t>氟化物</w:t>
      </w:r>
      <w:r>
        <w:rPr>
          <w:rFonts w:hint="eastAsia"/>
          <w:color w:val="000000" w:themeColor="text1"/>
          <w:lang w:val="en-US" w:eastAsia="zh-CN"/>
          <w14:textFill>
            <w14:solidFill>
              <w14:schemeClr w14:val="tx1"/>
            </w14:solidFill>
          </w14:textFill>
        </w:rPr>
        <w:t>浓度超出《地下水质量标准》（GB/T 14848-2017）Ⅲ类标准，其中氨氮对人体健康存在一定的风险，并且存在一定的暴露途径。</w:t>
      </w:r>
      <w:r>
        <w:rPr>
          <w:rFonts w:hint="eastAsia"/>
          <w:color w:val="000000" w:themeColor="text1"/>
          <w:highlight w:val="none"/>
          <w:lang w:val="en-US" w:eastAsia="zh-CN"/>
          <w14:textFill>
            <w14:solidFill>
              <w14:schemeClr w14:val="tx1"/>
            </w14:solidFill>
          </w14:textFill>
        </w:rPr>
        <w:t>地块内地下水与南侧污水坑存在一定的水力联系，丰水期地表水水位较高，地表水补给地下水，生活污水中的氨氮随地下水迁移至本地块导致地块内地下水中的氨氮偏高。随着南侧污水坑地表水的治理以及地下水环境的自净能力，区域地下水环境中的氨氮浓度会逐渐降低。另外，</w:t>
      </w:r>
      <w:r>
        <w:rPr>
          <w:rFonts w:hint="eastAsia"/>
          <w:color w:val="000000" w:themeColor="text1"/>
          <w:lang w:val="en-US" w:eastAsia="zh-CN"/>
          <w14:textFill>
            <w14:solidFill>
              <w14:schemeClr w14:val="tx1"/>
            </w14:solidFill>
          </w14:textFill>
        </w:rPr>
        <w:t>地块内地下水暂无利用规划并且已实现集中供水，地下水不作为生活饮用水水源。同时，对比《河北省东光化工有限责任公司西厂区污染地块风险评估》项目，地块5m范围内地层分布为填土及粉土，稳定水位埋深在5-6m，地块地下水氨氮暴露途径为吸入室外空气中来自地下水的气态污染物、吸入室内空气中来自地下水的气态污染物，与本地块岩性分布及稳定水位埋深基本一致，地下水暴露途径一致；河北省东光化工有限责任公司西厂区地下水氨氮风险控制值为188mg/L，本项目氨氮检出浓度为23.5mg/L，低于其风险控制值。因此，建议本地块不再开展风险评估。</w:t>
      </w:r>
    </w:p>
    <w:p>
      <w:pPr>
        <w:rPr>
          <w:rFonts w:hint="default"/>
          <w:color w:val="000000" w:themeColor="text1"/>
          <w14:textFill>
            <w14:solidFill>
              <w14:schemeClr w14:val="tx1"/>
            </w14:solidFill>
          </w14:textFill>
        </w:rPr>
      </w:pPr>
      <w:r>
        <w:rPr>
          <w:rFonts w:hint="eastAsia" w:cs="Times New Roman"/>
          <w:color w:val="000000" w:themeColor="text1"/>
          <w:lang w:eastAsia="zh-CN"/>
          <w14:textFill>
            <w14:solidFill>
              <w14:schemeClr w14:val="tx1"/>
            </w14:solidFill>
          </w14:textFill>
        </w:rPr>
        <w:t>综合检测结果及上述原因分析，本项目地块不属于污染地块</w:t>
      </w:r>
      <w:r>
        <w:rPr>
          <w:rFonts w:hint="default" w:ascii="Times New Roman" w:hAnsi="Times New Roman" w:cs="Times New Roman"/>
          <w:color w:val="000000" w:themeColor="text1"/>
          <w:lang w:eastAsia="zh-CN"/>
          <w14:textFill>
            <w14:solidFill>
              <w14:schemeClr w14:val="tx1"/>
            </w14:solidFill>
          </w14:textFill>
        </w:rPr>
        <w:t>。</w:t>
      </w:r>
      <w:r>
        <w:rPr>
          <w:rFonts w:hint="default" w:ascii="Times New Roman" w:hAnsi="Times New Roman" w:cs="Times New Roman"/>
          <w:color w:val="000000" w:themeColor="text1"/>
          <w14:textFill>
            <w14:solidFill>
              <w14:schemeClr w14:val="tx1"/>
            </w14:solidFill>
          </w14:textFill>
        </w:rPr>
        <w:t>根据《建设用地土壤污染状况调查技术导则》（HJ 25.1</w:t>
      </w:r>
      <w:r>
        <w:rPr>
          <w:rFonts w:hint="eastAsia" w:cs="Times New Roman"/>
          <w:color w:val="000000" w:themeColor="text1"/>
          <w:lang w:eastAsia="zh-CN"/>
          <w14:textFill>
            <w14:solidFill>
              <w14:schemeClr w14:val="tx1"/>
            </w14:solidFill>
          </w14:textFill>
        </w:rPr>
        <w:t>-</w:t>
      </w:r>
      <w:r>
        <w:rPr>
          <w:rFonts w:hint="default" w:ascii="Times New Roman" w:hAnsi="Times New Roman" w:cs="Times New Roman"/>
          <w:color w:val="000000" w:themeColor="text1"/>
          <w14:textFill>
            <w14:solidFill>
              <w14:schemeClr w14:val="tx1"/>
            </w14:solidFill>
          </w14:textFill>
        </w:rPr>
        <w:t>2019），地块调查工作到该阶段（技术路线第二阶段）结束</w:t>
      </w:r>
      <w:r>
        <w:rPr>
          <w:rFonts w:hint="default" w:ascii="Times New Roman" w:hAnsi="Times New Roman" w:cs="Times New Roman"/>
          <w:color w:val="000000" w:themeColor="text1"/>
          <w:lang w:val="en-US" w:eastAsia="zh-CN"/>
          <w14:textFill>
            <w14:solidFill>
              <w14:schemeClr w14:val="tx1"/>
            </w14:solidFill>
          </w14:textFill>
        </w:rPr>
        <w:t>。</w:t>
      </w:r>
      <w:r>
        <w:rPr>
          <w:rFonts w:hint="eastAsia"/>
          <w:color w:val="000000" w:themeColor="text1"/>
          <w:highlight w:val="none"/>
          <w:lang w:eastAsia="zh-CN"/>
          <w14:textFill>
            <w14:solidFill>
              <w14:schemeClr w14:val="tx1"/>
            </w14:solidFill>
          </w14:textFill>
        </w:rPr>
        <w:t>沧县鑫成福利化工配装厂一分厂地块</w:t>
      </w:r>
      <w:r>
        <w:rPr>
          <w:rFonts w:hint="eastAsia"/>
          <w:color w:val="000000" w:themeColor="text1"/>
          <w:highlight w:val="none"/>
          <w14:textFill>
            <w14:solidFill>
              <w14:schemeClr w14:val="tx1"/>
            </w14:solidFill>
          </w14:textFill>
        </w:rPr>
        <w:t>目前用地性质为</w:t>
      </w:r>
      <w:r>
        <w:rPr>
          <w:rFonts w:hint="eastAsia"/>
          <w:color w:val="000000" w:themeColor="text1"/>
          <w:highlight w:val="none"/>
          <w:lang w:eastAsia="zh-CN"/>
          <w14:textFill>
            <w14:solidFill>
              <w14:schemeClr w14:val="tx1"/>
            </w14:solidFill>
          </w14:textFill>
        </w:rPr>
        <w:t>建设用地，使用权为农村集体，暂无土地利用规划。地块位于</w:t>
      </w:r>
      <w:r>
        <w:rPr>
          <w:rFonts w:hint="default" w:ascii="Times New Roman" w:hAnsi="Times New Roman" w:cs="Times New Roman"/>
          <w:color w:val="000000" w:themeColor="text1"/>
          <w:sz w:val="24"/>
          <w:highlight w:val="none"/>
          <w14:textFill>
            <w14:solidFill>
              <w14:schemeClr w14:val="tx1"/>
            </w14:solidFill>
          </w14:textFill>
        </w:rPr>
        <w:t>沧县张官屯乡八义庄村</w:t>
      </w:r>
      <w:r>
        <w:rPr>
          <w:rFonts w:hint="eastAsia" w:cs="Times New Roman"/>
          <w:color w:val="000000" w:themeColor="text1"/>
          <w:sz w:val="24"/>
          <w:highlight w:val="none"/>
          <w:lang w:eastAsia="zh-CN"/>
          <w14:textFill>
            <w14:solidFill>
              <w14:schemeClr w14:val="tx1"/>
            </w14:solidFill>
          </w14:textFill>
        </w:rPr>
        <w:t>东北，属于居民区范围，从保守角度考虑，</w:t>
      </w:r>
      <w:r>
        <w:rPr>
          <w:rFonts w:hint="default" w:ascii="Times New Roman" w:hAnsi="Times New Roman" w:cs="Times New Roman"/>
          <w:color w:val="000000" w:themeColor="text1"/>
          <w14:textFill>
            <w14:solidFill>
              <w14:schemeClr w14:val="tx1"/>
            </w14:solidFill>
          </w14:textFill>
        </w:rPr>
        <w:t>该地块土壤污染状况评价根据《土壤环境质量 建设用地土壤污染风险管控标准（试行）》（GB36600</w:t>
      </w:r>
      <w:r>
        <w:rPr>
          <w:rFonts w:hint="eastAsia" w:ascii="Times New Roman" w:hAnsi="Times New Roman" w:cs="Times New Roman"/>
          <w:color w:val="000000" w:themeColor="text1"/>
          <w:lang w:val="en-US" w:eastAsia="zh-CN"/>
          <w14:textFill>
            <w14:solidFill>
              <w14:schemeClr w14:val="tx1"/>
            </w14:solidFill>
          </w14:textFill>
        </w:rPr>
        <w:t>-</w:t>
      </w:r>
      <w:r>
        <w:rPr>
          <w:rFonts w:hint="default" w:ascii="Times New Roman" w:hAnsi="Times New Roman" w:cs="Times New Roman"/>
          <w:color w:val="000000" w:themeColor="text1"/>
          <w14:textFill>
            <w14:solidFill>
              <w14:schemeClr w14:val="tx1"/>
            </w14:solidFill>
          </w14:textFill>
        </w:rPr>
        <w:t>2018）中</w:t>
      </w:r>
      <w:r>
        <w:rPr>
          <w:rFonts w:hint="eastAsia" w:cs="Times New Roman"/>
          <w:color w:val="000000" w:themeColor="text1"/>
          <w:lang w:eastAsia="zh-CN"/>
          <w14:textFill>
            <w14:solidFill>
              <w14:schemeClr w14:val="tx1"/>
            </w14:solidFill>
          </w14:textFill>
        </w:rPr>
        <w:t>第一类用地</w:t>
      </w:r>
      <w:r>
        <w:rPr>
          <w:rFonts w:hint="default" w:ascii="Times New Roman" w:hAnsi="Times New Roman" w:cs="Times New Roman"/>
          <w:color w:val="000000" w:themeColor="text1"/>
          <w14:textFill>
            <w14:solidFill>
              <w14:schemeClr w14:val="tx1"/>
            </w14:solidFill>
          </w14:textFill>
        </w:rPr>
        <w:t>要求进行</w:t>
      </w:r>
      <w:r>
        <w:rPr>
          <w:rFonts w:hint="eastAsia" w:cs="Times New Roman"/>
          <w:color w:val="000000" w:themeColor="text1"/>
          <w:lang w:eastAsia="zh-CN"/>
          <w14:textFill>
            <w14:solidFill>
              <w14:schemeClr w14:val="tx1"/>
            </w14:solidFill>
          </w14:textFill>
        </w:rPr>
        <w:t>。</w:t>
      </w:r>
      <w:r>
        <w:rPr>
          <w:rFonts w:eastAsia="宋体" w:cs="Times New Roman"/>
          <w:color w:val="000000" w:themeColor="text1"/>
          <w14:textFill>
            <w14:solidFill>
              <w14:schemeClr w14:val="tx1"/>
            </w14:solidFill>
          </w14:textFill>
        </w:rPr>
        <w:t>根据监测结果分析，本</w:t>
      </w:r>
      <w:r>
        <w:rPr>
          <w:rFonts w:hint="default" w:eastAsia="宋体" w:cs="Times New Roman"/>
          <w:color w:val="000000" w:themeColor="text1"/>
          <w:lang w:eastAsia="zh-CN"/>
          <w14:textFill>
            <w14:solidFill>
              <w14:schemeClr w14:val="tx1"/>
            </w14:solidFill>
          </w14:textFill>
        </w:rPr>
        <w:t>地块</w:t>
      </w:r>
      <w:r>
        <w:rPr>
          <w:rFonts w:eastAsia="宋体" w:cs="Times New Roman"/>
          <w:color w:val="000000" w:themeColor="text1"/>
          <w14:textFill>
            <w14:solidFill>
              <w14:schemeClr w14:val="tx1"/>
            </w14:solidFill>
          </w14:textFill>
        </w:rPr>
        <w:t>达到</w:t>
      </w:r>
      <w:r>
        <w:rPr>
          <w:rFonts w:hint="eastAsia" w:cs="Times New Roman"/>
          <w:color w:val="000000" w:themeColor="text1"/>
          <w:lang w:eastAsia="zh-CN"/>
          <w14:textFill>
            <w14:solidFill>
              <w14:schemeClr w14:val="tx1"/>
            </w14:solidFill>
          </w14:textFill>
        </w:rPr>
        <w:t>居住</w:t>
      </w:r>
      <w:r>
        <w:rPr>
          <w:rFonts w:eastAsia="宋体" w:cs="Times New Roman"/>
          <w:color w:val="000000" w:themeColor="text1"/>
          <w14:textFill>
            <w14:solidFill>
              <w14:schemeClr w14:val="tx1"/>
            </w14:solidFill>
          </w14:textFill>
        </w:rPr>
        <w:t>用地标准，因此本场地可作为</w:t>
      </w:r>
      <w:r>
        <w:rPr>
          <w:rFonts w:hint="eastAsia" w:cs="Times New Roman"/>
          <w:color w:val="000000" w:themeColor="text1"/>
          <w:lang w:eastAsia="zh-CN"/>
          <w14:textFill>
            <w14:solidFill>
              <w14:schemeClr w14:val="tx1"/>
            </w14:solidFill>
          </w14:textFill>
        </w:rPr>
        <w:t>居住</w:t>
      </w:r>
      <w:r>
        <w:rPr>
          <w:rFonts w:eastAsia="宋体" w:cs="Times New Roman"/>
          <w:color w:val="000000" w:themeColor="text1"/>
          <w14:textFill>
            <w14:solidFill>
              <w14:schemeClr w14:val="tx1"/>
            </w14:solidFill>
          </w14:textFill>
        </w:rPr>
        <w:t>用地</w:t>
      </w:r>
      <w:r>
        <w:rPr>
          <w:rFonts w:hint="eastAsia" w:eastAsia="宋体" w:cs="Times New Roman"/>
          <w:color w:val="000000" w:themeColor="text1"/>
          <w:lang w:eastAsia="zh-CN"/>
          <w14:textFill>
            <w14:solidFill>
              <w14:schemeClr w14:val="tx1"/>
            </w14:solidFill>
          </w14:textFill>
        </w:rPr>
        <w:t>使用</w:t>
      </w:r>
      <w:r>
        <w:rPr>
          <w:rFonts w:hint="default" w:eastAsia="宋体" w:cs="Times New Roman"/>
          <w:color w:val="000000" w:themeColor="text1"/>
          <w:lang w:eastAsia="zh-CN"/>
          <w14:textFill>
            <w14:solidFill>
              <w14:schemeClr w14:val="tx1"/>
            </w14:solidFill>
          </w14:textFill>
        </w:rPr>
        <w:t>。</w:t>
      </w:r>
    </w:p>
    <w:p>
      <w:pPr>
        <w:pStyle w:val="5"/>
        <w:bidi w:val="0"/>
        <w:rPr>
          <w:rFonts w:hint="eastAsia" w:ascii="Times New Roman" w:hAnsi="Times New Roman" w:eastAsia="宋体" w:cs="Times New Roman"/>
          <w:color w:val="000000" w:themeColor="text1"/>
          <w:highlight w:val="none"/>
          <w:lang w:val="en-US" w:eastAsia="zh-CN"/>
          <w14:textFill>
            <w14:solidFill>
              <w14:schemeClr w14:val="tx1"/>
            </w14:solidFill>
          </w14:textFill>
        </w:rPr>
      </w:pPr>
      <w:bookmarkStart w:id="32" w:name="_Toc26080"/>
      <w:r>
        <w:rPr>
          <w:rFonts w:hint="eastAsia" w:ascii="Times New Roman" w:hAnsi="Times New Roman" w:eastAsia="宋体" w:cs="Times New Roman"/>
          <w:color w:val="000000" w:themeColor="text1"/>
          <w:highlight w:val="none"/>
          <w:lang w:val="en-US" w:eastAsia="zh-CN"/>
          <w14:textFill>
            <w14:solidFill>
              <w14:schemeClr w14:val="tx1"/>
            </w14:solidFill>
          </w14:textFill>
        </w:rPr>
        <w:t>5</w:t>
      </w:r>
      <w:r>
        <w:rPr>
          <w:rFonts w:hint="default" w:ascii="Times New Roman" w:hAnsi="Times New Roman" w:eastAsia="宋体" w:cs="Times New Roman"/>
          <w:color w:val="000000" w:themeColor="text1"/>
          <w:highlight w:val="none"/>
          <w:lang w:val="en-US" w:eastAsia="zh-CN"/>
          <w14:textFill>
            <w14:solidFill>
              <w14:schemeClr w14:val="tx1"/>
            </w14:solidFill>
          </w14:textFill>
        </w:rPr>
        <w:t xml:space="preserve"> 建议</w:t>
      </w:r>
      <w:bookmarkEnd w:id="21"/>
      <w:bookmarkEnd w:id="22"/>
      <w:bookmarkEnd w:id="23"/>
      <w:bookmarkEnd w:id="24"/>
      <w:bookmarkEnd w:id="25"/>
      <w:bookmarkEnd w:id="26"/>
      <w:bookmarkEnd w:id="27"/>
      <w:bookmarkEnd w:id="28"/>
      <w:bookmarkEnd w:id="29"/>
      <w:bookmarkEnd w:id="30"/>
      <w:bookmarkEnd w:id="31"/>
      <w:bookmarkEnd w:id="32"/>
    </w:p>
    <w:p>
      <w:pPr>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1</w:t>
      </w:r>
      <w:r>
        <w:rPr>
          <w:rFonts w:hint="eastAsia"/>
          <w:color w:val="000000" w:themeColor="text1"/>
          <w:lang w:eastAsia="zh-CN"/>
          <w14:textFill>
            <w14:solidFill>
              <w14:schemeClr w14:val="tx1"/>
            </w14:solidFill>
          </w14:textFill>
        </w:rPr>
        <w:t>）经调查可知地块内地下水质量较差，不可作为</w:t>
      </w:r>
      <w:r>
        <w:rPr>
          <w:rFonts w:hint="eastAsia"/>
          <w:color w:val="000000" w:themeColor="text1"/>
          <w:lang w:val="en-US" w:eastAsia="zh-CN"/>
          <w14:textFill>
            <w14:solidFill>
              <w14:schemeClr w14:val="tx1"/>
            </w14:solidFill>
          </w14:textFill>
        </w:rPr>
        <w:t>生活饮用水水源</w:t>
      </w:r>
      <w:r>
        <w:rPr>
          <w:rFonts w:hint="eastAsia"/>
          <w:color w:val="000000" w:themeColor="text1"/>
          <w:lang w:eastAsia="zh-CN"/>
          <w14:textFill>
            <w14:solidFill>
              <w14:schemeClr w14:val="tx1"/>
            </w14:solidFill>
          </w14:textFill>
        </w:rPr>
        <w:t>。</w:t>
      </w:r>
    </w:p>
    <w:p>
      <w:pPr>
        <w:bidi w:val="0"/>
        <w:rPr>
          <w:rFonts w:hint="default"/>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2</w:t>
      </w:r>
      <w:r>
        <w:rPr>
          <w:rFonts w:hint="eastAsia"/>
          <w:color w:val="000000" w:themeColor="text1"/>
          <w:lang w:eastAsia="zh-CN"/>
          <w14:textFill>
            <w14:solidFill>
              <w14:schemeClr w14:val="tx1"/>
            </w14:solidFill>
          </w14:textFill>
        </w:rPr>
        <w:t>）本次调查钻探过程中发现部分点位存在异色异味土壤，其中，地块西侧C2点位6.0-7.0m及东南侧C5点位1.5-5.5m存在黑土；地块内北侧C1-3.6</w:t>
      </w:r>
      <w:r>
        <w:rPr>
          <w:rFonts w:hint="eastAsia"/>
          <w:color w:val="000000" w:themeColor="text1"/>
          <w:lang w:val="en-US" w:eastAsia="zh-CN"/>
          <w14:textFill>
            <w14:solidFill>
              <w14:schemeClr w14:val="tx1"/>
            </w14:solidFill>
          </w14:textFill>
        </w:rPr>
        <w:t>m及西南侧</w:t>
      </w:r>
      <w:r>
        <w:rPr>
          <w:rFonts w:hint="eastAsia"/>
          <w:color w:val="000000" w:themeColor="text1"/>
          <w:lang w:eastAsia="zh-CN"/>
          <w14:textFill>
            <w14:solidFill>
              <w14:schemeClr w14:val="tx1"/>
            </w14:solidFill>
          </w14:textFill>
        </w:rPr>
        <w:t>C</w:t>
      </w:r>
      <w:r>
        <w:rPr>
          <w:rFonts w:hint="eastAsia"/>
          <w:color w:val="000000" w:themeColor="text1"/>
          <w:lang w:val="en-US" w:eastAsia="zh-CN"/>
          <w14:textFill>
            <w14:solidFill>
              <w14:schemeClr w14:val="tx1"/>
            </w14:solidFill>
          </w14:textFill>
        </w:rPr>
        <w:t>2</w:t>
      </w: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4.9m土壤</w:t>
      </w:r>
      <w:r>
        <w:rPr>
          <w:rFonts w:hint="eastAsia"/>
          <w:color w:val="000000" w:themeColor="text1"/>
          <w:lang w:eastAsia="zh-CN"/>
          <w14:textFill>
            <w14:solidFill>
              <w14:schemeClr w14:val="tx1"/>
            </w14:solidFill>
          </w14:textFill>
        </w:rPr>
        <w:t>有臭味。因初步调查点位布设数量较少，不足以确定异色、异味土壤的范围及深度。如果地块未来进行开发，在后续开发过程中应对地块内的异色、异味土壤范围、方量进行划定，并按照相关规范妥善处理，避免污染环境。</w:t>
      </w:r>
    </w:p>
    <w:p>
      <w:pPr>
        <w:pStyle w:val="8"/>
        <w:widowControl w:val="0"/>
        <w:topLinePunct/>
        <w:snapToGrid w:val="0"/>
        <w:spacing w:before="0" w:beforeAutospacing="0" w:after="0" w:afterAutospacing="0" w:line="360" w:lineRule="auto"/>
        <w:jc w:val="both"/>
        <w:rPr>
          <w:rFonts w:hint="default" w:ascii="Times New Roman" w:hAnsi="Times New Roman" w:cs="Times New Roman"/>
          <w:b/>
          <w:color w:val="000000" w:themeColor="text1"/>
          <w:kern w:val="2"/>
          <w:sz w:val="36"/>
          <w:szCs w:val="36"/>
          <w14:textFill>
            <w14:solidFill>
              <w14:schemeClr w14:val="tx1"/>
            </w14:solidFill>
          </w14:textFill>
        </w:rPr>
        <w:sectPr>
          <w:pgSz w:w="11906" w:h="16838"/>
          <w:pgMar w:top="1440" w:right="1800" w:bottom="1440" w:left="1800" w:header="851" w:footer="992" w:gutter="0"/>
          <w:cols w:space="425" w:num="1"/>
          <w:docGrid w:type="lines" w:linePitch="312" w:charSpace="0"/>
        </w:sectPr>
      </w:pP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3</w:t>
      </w:r>
      <w:r>
        <w:rPr>
          <w:rFonts w:hint="eastAsia"/>
          <w:color w:val="000000" w:themeColor="text1"/>
          <w:lang w:eastAsia="zh-CN"/>
          <w14:textFill>
            <w14:solidFill>
              <w14:schemeClr w14:val="tx1"/>
            </w14:solidFill>
          </w14:textFill>
        </w:rPr>
        <w:t>）</w:t>
      </w:r>
      <w:r>
        <w:rPr>
          <w:rFonts w:hint="eastAsia"/>
          <w:color w:val="000000" w:themeColor="text1"/>
          <w:highlight w:val="none"/>
          <w:lang w:eastAsia="zh-CN"/>
          <w14:textFill>
            <w14:solidFill>
              <w14:schemeClr w14:val="tx1"/>
            </w14:solidFill>
          </w14:textFill>
        </w:rPr>
        <w:t>因地块生产活动时间较老，原构筑物均已拆除，厂区平面布设均由人员访谈及搜集资料获得，存在一定的不确定性，在后续开发过程中</w:t>
      </w:r>
      <w:r>
        <w:rPr>
          <w:rFonts w:hint="default"/>
          <w:color w:val="000000" w:themeColor="text1"/>
          <w14:textFill>
            <w14:solidFill>
              <w14:schemeClr w14:val="tx1"/>
            </w14:solidFill>
          </w14:textFill>
        </w:rPr>
        <w:t>一旦发现潜在污染源或地下隐蔽设施，存在环境污染风险时，应及时上报环境保护主管部门，必要时应继续开展相应的</w:t>
      </w:r>
      <w:r>
        <w:rPr>
          <w:rFonts w:hint="default"/>
          <w:color w:val="000000" w:themeColor="text1"/>
          <w:lang w:eastAsia="zh-CN"/>
          <w14:textFill>
            <w14:solidFill>
              <w14:schemeClr w14:val="tx1"/>
            </w14:solidFill>
          </w14:textFill>
        </w:rPr>
        <w:t>地块内的</w:t>
      </w:r>
      <w:r>
        <w:rPr>
          <w:rFonts w:hint="default"/>
          <w:color w:val="000000" w:themeColor="text1"/>
          <w14:textFill>
            <w14:solidFill>
              <w14:schemeClr w14:val="tx1"/>
            </w14:solidFill>
          </w14:textFill>
        </w:rPr>
        <w:t>环境调查工作</w:t>
      </w:r>
      <w:r>
        <w:rPr>
          <w:rFonts w:hint="default"/>
          <w:color w:val="000000" w:themeColor="text1"/>
          <w:lang w:eastAsia="zh-CN"/>
          <w14:textFill>
            <w14:solidFill>
              <w14:schemeClr w14:val="tx1"/>
            </w14:solidFill>
          </w14:textFill>
        </w:rPr>
        <w:t>。</w:t>
      </w:r>
    </w:p>
    <w:p>
      <w:pPr>
        <w:pStyle w:val="8"/>
        <w:widowControl w:val="0"/>
        <w:topLinePunct/>
        <w:snapToGrid w:val="0"/>
        <w:spacing w:before="0" w:beforeAutospacing="0" w:after="0" w:afterAutospacing="0" w:line="360" w:lineRule="auto"/>
        <w:jc w:val="both"/>
        <w:rPr>
          <w:rFonts w:hint="default" w:ascii="Times New Roman" w:hAnsi="Times New Roman" w:cs="Times New Roman"/>
          <w:b/>
          <w:color w:val="000000" w:themeColor="text1"/>
          <w:kern w:val="2"/>
          <w:sz w:val="36"/>
          <w:szCs w:val="36"/>
          <w14:textFill>
            <w14:solidFill>
              <w14:schemeClr w14:val="tx1"/>
            </w14:solidFill>
          </w14:textFill>
        </w:rPr>
        <w:sectPr>
          <w:pgSz w:w="11906" w:h="16838"/>
          <w:pgMar w:top="1440" w:right="1800" w:bottom="1440" w:left="1800" w:header="851" w:footer="992" w:gutter="0"/>
          <w:cols w:space="425" w:num="1"/>
          <w:docGrid w:type="lines" w:linePitch="312" w:charSpace="0"/>
        </w:sectPr>
      </w:pPr>
    </w:p>
    <w:p>
      <w:pPr>
        <w:pStyle w:val="8"/>
        <w:widowControl w:val="0"/>
        <w:topLinePunct/>
        <w:snapToGrid w:val="0"/>
        <w:spacing w:before="0" w:beforeAutospacing="0" w:after="0" w:afterAutospacing="0" w:line="360" w:lineRule="auto"/>
        <w:jc w:val="both"/>
        <w:rPr>
          <w:rFonts w:hint="default" w:ascii="Times New Roman" w:hAnsi="Times New Roman" w:cs="Times New Roman"/>
          <w:b/>
          <w:color w:val="000000" w:themeColor="text1"/>
          <w:kern w:val="2"/>
          <w:sz w:val="36"/>
          <w:szCs w:val="36"/>
          <w14:textFill>
            <w14:solidFill>
              <w14:schemeClr w14:val="tx1"/>
            </w14:solidFill>
          </w14:textFill>
        </w:rPr>
      </w:pPr>
    </w:p>
    <w:p>
      <w:pPr>
        <w:rPr>
          <w:color w:val="000000" w:themeColor="text1"/>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DF613A"/>
    <w:rsid w:val="05DF613A"/>
    <w:rsid w:val="31742DF8"/>
    <w:rsid w:val="460226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20" w:lineRule="exact"/>
      <w:ind w:firstLine="883" w:firstLineChars="200"/>
      <w:jc w:val="both"/>
    </w:pPr>
    <w:rPr>
      <w:rFonts w:ascii="Times New Roman" w:hAnsi="Times New Roman" w:eastAsia="宋体" w:cs="黑体"/>
      <w:kern w:val="2"/>
      <w:sz w:val="24"/>
      <w:szCs w:val="24"/>
      <w:lang w:val="en-US" w:eastAsia="zh-CN" w:bidi="ar-SA"/>
    </w:rPr>
  </w:style>
  <w:style w:type="paragraph" w:styleId="4">
    <w:name w:val="heading 2"/>
    <w:basedOn w:val="1"/>
    <w:next w:val="1"/>
    <w:unhideWhenUsed/>
    <w:qFormat/>
    <w:uiPriority w:val="0"/>
    <w:pPr>
      <w:keepNext/>
      <w:keepLines/>
      <w:spacing w:before="120" w:after="120"/>
      <w:ind w:firstLine="0" w:firstLineChars="0"/>
      <w:jc w:val="left"/>
      <w:outlineLvl w:val="1"/>
    </w:pPr>
    <w:rPr>
      <w:b/>
      <w:sz w:val="30"/>
      <w:szCs w:val="32"/>
    </w:rPr>
  </w:style>
  <w:style w:type="paragraph" w:styleId="5">
    <w:name w:val="heading 3"/>
    <w:basedOn w:val="1"/>
    <w:next w:val="1"/>
    <w:unhideWhenUsed/>
    <w:qFormat/>
    <w:uiPriority w:val="0"/>
    <w:pPr>
      <w:keepNext/>
      <w:keepLines/>
      <w:spacing w:before="60" w:after="60"/>
      <w:ind w:firstLine="0" w:firstLineChars="0"/>
      <w:jc w:val="left"/>
      <w:outlineLvl w:val="2"/>
    </w:pPr>
    <w:rPr>
      <w:b/>
      <w:sz w:val="28"/>
    </w:rPr>
  </w:style>
  <w:style w:type="paragraph" w:styleId="3">
    <w:name w:val="heading 4"/>
    <w:basedOn w:val="1"/>
    <w:next w:val="1"/>
    <w:unhideWhenUsed/>
    <w:qFormat/>
    <w:uiPriority w:val="0"/>
    <w:pPr>
      <w:keepNext/>
      <w:keepLines/>
      <w:ind w:firstLine="0" w:firstLineChars="0"/>
      <w:outlineLvl w:val="3"/>
    </w:pPr>
    <w:rPr>
      <w:rFonts w:ascii="Arial" w:hAnsi="Arial"/>
      <w:b/>
      <w:szCs w:val="28"/>
    </w:rPr>
  </w:style>
  <w:style w:type="character" w:default="1" w:styleId="12">
    <w:name w:val="Default Paragraph Font"/>
    <w:semiHidden/>
    <w:qFormat/>
    <w:uiPriority w:val="0"/>
  </w:style>
  <w:style w:type="table" w:default="1" w:styleId="11">
    <w:name w:val="Normal Table"/>
    <w:semiHidden/>
    <w:uiPriority w:val="0"/>
    <w:tblPr>
      <w:tblCellMar>
        <w:top w:w="0" w:type="dxa"/>
        <w:left w:w="108" w:type="dxa"/>
        <w:bottom w:w="0" w:type="dxa"/>
        <w:right w:w="108" w:type="dxa"/>
      </w:tblCellMar>
    </w:tblPr>
  </w:style>
  <w:style w:type="paragraph" w:styleId="2">
    <w:name w:val="Normal Indent"/>
    <w:basedOn w:val="1"/>
    <w:next w:val="3"/>
    <w:qFormat/>
    <w:uiPriority w:val="0"/>
    <w:pPr>
      <w:ind w:firstLine="420"/>
    </w:pPr>
  </w:style>
  <w:style w:type="paragraph" w:styleId="6">
    <w:name w:val="Body Text"/>
    <w:basedOn w:val="1"/>
    <w:qFormat/>
    <w:uiPriority w:val="0"/>
    <w:pPr>
      <w:snapToGrid w:val="0"/>
      <w:jc w:val="center"/>
    </w:pPr>
    <w:rPr>
      <w:rFonts w:ascii="Arial" w:hAnsi="Arial"/>
      <w:szCs w:val="20"/>
    </w:rPr>
  </w:style>
  <w:style w:type="paragraph" w:styleId="7">
    <w:name w:val="Body Text Indent"/>
    <w:basedOn w:val="1"/>
    <w:qFormat/>
    <w:uiPriority w:val="0"/>
    <w:pPr>
      <w:spacing w:line="360" w:lineRule="auto"/>
      <w:ind w:firstLine="480"/>
    </w:pPr>
    <w:rPr>
      <w:kern w:val="0"/>
    </w:rPr>
  </w:style>
  <w:style w:type="paragraph" w:styleId="8">
    <w:name w:val="Normal (Web)"/>
    <w:basedOn w:val="1"/>
    <w:qFormat/>
    <w:uiPriority w:val="99"/>
    <w:pPr>
      <w:widowControl/>
      <w:spacing w:before="100" w:beforeAutospacing="1" w:after="100" w:afterAutospacing="1"/>
      <w:jc w:val="left"/>
    </w:pPr>
    <w:rPr>
      <w:rFonts w:ascii="宋体" w:hAnsi="宋体" w:cs="宋体"/>
      <w:kern w:val="0"/>
    </w:rPr>
  </w:style>
  <w:style w:type="paragraph" w:styleId="9">
    <w:name w:val="Body Text First Indent 2"/>
    <w:basedOn w:val="7"/>
    <w:next w:val="10"/>
    <w:qFormat/>
    <w:uiPriority w:val="0"/>
    <w:pPr>
      <w:adjustRightInd w:val="0"/>
      <w:snapToGrid w:val="0"/>
      <w:spacing w:after="120"/>
      <w:ind w:firstLine="960"/>
    </w:pPr>
    <w:rPr>
      <w:rFonts w:cs="宋体"/>
      <w:color w:val="000000"/>
      <w:szCs w:val="28"/>
    </w:rPr>
  </w:style>
  <w:style w:type="paragraph" w:customStyle="1" w:styleId="10">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2020-11-21T02:34:00Z</dcterms:created>
  <dc:creator>Administrator</dc:creator>
  <cp:lastModifiedBy>Administrator</cp:lastModifiedBy>
  <dcterms:modified xsi:type="dcterms:W3CDTF">2021-01-29T01:58:38Z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