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ind w:left="0" w:leftChars="0" w:firstLine="0" w:firstLineChars="0"/>
        <w:jc w:val="center"/>
        <w:rPr>
          <w:rFonts w:hint="eastAsia"/>
          <w:sz w:val="44"/>
          <w:szCs w:val="44"/>
        </w:rPr>
      </w:pPr>
      <w:bookmarkStart w:id="0" w:name="_Toc2823"/>
      <w:bookmarkStart w:id="1" w:name="_Toc5723"/>
      <w:bookmarkStart w:id="2" w:name="_Toc21014"/>
      <w:bookmarkStart w:id="3" w:name="_Toc11968"/>
      <w:bookmarkStart w:id="4" w:name="_Toc13142"/>
      <w:bookmarkStart w:id="5" w:name="_Toc28744"/>
      <w:bookmarkStart w:id="6" w:name="_Toc21432"/>
      <w:bookmarkStart w:id="7" w:name="_Toc27194"/>
      <w:bookmarkStart w:id="8" w:name="_Toc27785"/>
      <w:bookmarkStart w:id="9" w:name="_Toc18092"/>
      <w:bookmarkStart w:id="10" w:name="_Toc21292"/>
      <w:bookmarkStart w:id="11" w:name="_Toc3219"/>
      <w:bookmarkStart w:id="12" w:name="_Toc11872"/>
    </w:p>
    <w:p>
      <w:pPr>
        <w:spacing w:line="600" w:lineRule="auto"/>
        <w:ind w:left="0" w:leftChars="0" w:firstLine="0" w:firstLineChars="0"/>
        <w:jc w:val="center"/>
        <w:rPr>
          <w:rFonts w:hint="eastAsia"/>
          <w:sz w:val="44"/>
          <w:szCs w:val="44"/>
        </w:rPr>
      </w:pPr>
    </w:p>
    <w:p>
      <w:pPr>
        <w:spacing w:line="600" w:lineRule="auto"/>
        <w:ind w:left="0" w:leftChars="0" w:firstLine="0" w:firstLineChars="0"/>
        <w:jc w:val="center"/>
        <w:rPr>
          <w:rFonts w:hint="eastAsia" w:eastAsia="宋体"/>
          <w:b/>
          <w:bCs/>
          <w:sz w:val="44"/>
          <w:szCs w:val="44"/>
          <w:lang w:eastAsia="zh-CN"/>
        </w:rPr>
      </w:pPr>
      <w:r>
        <w:rPr>
          <w:rFonts w:hint="eastAsia"/>
          <w:b/>
          <w:bCs/>
          <w:sz w:val="44"/>
          <w:szCs w:val="44"/>
        </w:rPr>
        <w:t>河北欧狮顿石油化工有限公司</w:t>
      </w:r>
      <w:r>
        <w:rPr>
          <w:rFonts w:hint="eastAsia"/>
          <w:b/>
          <w:bCs/>
          <w:color w:val="auto"/>
          <w:sz w:val="44"/>
          <w:szCs w:val="44"/>
          <w:lang w:eastAsia="zh-CN"/>
        </w:rPr>
        <w:t>地块</w:t>
      </w:r>
    </w:p>
    <w:p>
      <w:pPr>
        <w:spacing w:before="469" w:beforeLines="150" w:line="720" w:lineRule="auto"/>
        <w:ind w:left="0" w:leftChars="0" w:firstLine="0" w:firstLineChars="0"/>
        <w:jc w:val="center"/>
        <w:rPr>
          <w:rFonts w:hint="eastAsia"/>
          <w:sz w:val="72"/>
          <w:szCs w:val="72"/>
          <w:lang w:eastAsia="zh-CN"/>
        </w:rPr>
      </w:pPr>
      <w:r>
        <w:rPr>
          <w:rFonts w:hint="eastAsia"/>
          <w:b/>
          <w:bCs/>
          <w:sz w:val="72"/>
          <w:szCs w:val="72"/>
        </w:rPr>
        <w:t>土壤污染状况调查</w:t>
      </w:r>
      <w:r>
        <w:rPr>
          <w:rFonts w:hint="eastAsia"/>
          <w:b/>
          <w:bCs/>
          <w:sz w:val="72"/>
          <w:szCs w:val="72"/>
          <w:lang w:eastAsia="zh-CN"/>
        </w:rPr>
        <w:t>报告</w:t>
      </w:r>
    </w:p>
    <w:p>
      <w:pPr>
        <w:bidi w:val="0"/>
        <w:jc w:val="center"/>
        <w:rPr>
          <w:rFonts w:hint="eastAsia" w:ascii="Times New Roman" w:hAnsi="Times New Roman" w:eastAsia="宋体" w:cs="Times New Roman"/>
          <w:kern w:val="2"/>
          <w:sz w:val="30"/>
          <w:szCs w:val="30"/>
          <w:lang w:val="en-US" w:eastAsia="zh-CN" w:bidi="ar-SA"/>
        </w:rPr>
      </w:pPr>
      <w:r>
        <w:rPr>
          <w:rFonts w:hint="eastAsia" w:cs="Times New Roman"/>
          <w:kern w:val="2"/>
          <w:sz w:val="30"/>
          <w:szCs w:val="30"/>
          <w:lang w:val="en-US" w:eastAsia="zh-CN" w:bidi="ar-SA"/>
        </w:rPr>
        <w:t>（公示本）</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bookmarkStart w:id="34" w:name="_GoBack"/>
      <w:bookmarkEnd w:id="34"/>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adjustRightInd w:val="0"/>
        <w:snapToGrid w:val="0"/>
        <w:ind w:firstLine="480"/>
        <w:jc w:val="center"/>
        <w:rPr>
          <w:rFonts w:hint="default" w:ascii="Times New Roman" w:hAnsi="Times New Roman" w:cs="Times New Roman"/>
          <w:color w:val="auto"/>
        </w:rPr>
      </w:pPr>
      <w:r>
        <w:rPr>
          <w:rFonts w:hint="eastAsia"/>
          <w:lang w:val="en-US" w:eastAsia="zh-CN"/>
        </w:rPr>
        <w:tab/>
      </w:r>
    </w:p>
    <w:p>
      <w:pPr>
        <w:adjustRightInd w:val="0"/>
        <w:snapToGrid w:val="0"/>
        <w:spacing w:line="360" w:lineRule="auto"/>
        <w:ind w:firstLine="1285" w:firstLineChars="400"/>
        <w:rPr>
          <w:rFonts w:hint="default" w:ascii="Times New Roman" w:hAnsi="Times New Roman" w:cs="Times New Roman"/>
          <w:b/>
          <w:color w:val="auto"/>
          <w:sz w:val="32"/>
          <w:szCs w:val="32"/>
        </w:rPr>
      </w:pPr>
      <w:r>
        <w:rPr>
          <w:rFonts w:hint="default" w:ascii="Times New Roman" w:hAnsi="Times New Roman" w:cs="Times New Roman"/>
          <w:b/>
          <w:color w:val="auto"/>
          <w:sz w:val="32"/>
          <w:szCs w:val="32"/>
        </w:rPr>
        <w:t>编制单位：河北靓源环保工程有限公司</w:t>
      </w:r>
    </w:p>
    <w:p>
      <w:pPr>
        <w:adjustRightInd w:val="0"/>
        <w:snapToGrid w:val="0"/>
        <w:spacing w:line="360" w:lineRule="auto"/>
        <w:ind w:firstLine="1285" w:firstLineChars="400"/>
        <w:rPr>
          <w:rFonts w:hint="default" w:ascii="Times New Roman" w:hAnsi="Times New Roman" w:cs="Times New Roman"/>
          <w:b/>
          <w:color w:val="auto"/>
          <w:sz w:val="32"/>
          <w:szCs w:val="32"/>
        </w:rPr>
      </w:pPr>
      <w:r>
        <w:rPr>
          <w:rFonts w:hint="default" w:ascii="Times New Roman" w:hAnsi="Times New Roman" w:cs="Times New Roman"/>
          <w:b/>
          <w:color w:val="auto"/>
          <w:sz w:val="32"/>
          <w:szCs w:val="32"/>
        </w:rPr>
        <w:t>委托单位：河北欧狮顿新能源科技有限公司</w:t>
      </w:r>
    </w:p>
    <w:p>
      <w:pPr>
        <w:tabs>
          <w:tab w:val="left" w:pos="1869"/>
        </w:tabs>
        <w:adjustRightInd w:val="0"/>
        <w:snapToGrid w:val="0"/>
        <w:spacing w:line="360" w:lineRule="auto"/>
        <w:ind w:firstLine="1285" w:firstLineChars="400"/>
        <w:rPr>
          <w:rFonts w:hint="default" w:ascii="Times New Roman" w:hAnsi="Times New Roman" w:cs="Times New Roman"/>
          <w:b/>
          <w:color w:val="auto"/>
          <w:sz w:val="32"/>
          <w:szCs w:val="32"/>
          <w:highlight w:val="none"/>
        </w:rPr>
        <w:sectPr>
          <w:pgSz w:w="11906" w:h="16838"/>
          <w:pgMar w:top="1440" w:right="1800" w:bottom="1440" w:left="1800" w:header="851" w:footer="992" w:gutter="0"/>
          <w:pgNumType w:fmt="decimal"/>
          <w:cols w:space="0" w:num="1"/>
          <w:rtlGutter w:val="0"/>
          <w:docGrid w:type="lines" w:linePitch="312" w:charSpace="0"/>
        </w:sectPr>
      </w:pPr>
      <w:r>
        <w:rPr>
          <w:rFonts w:hint="default" w:ascii="Times New Roman" w:hAnsi="Times New Roman" w:cs="Times New Roman"/>
          <w:b/>
          <w:color w:val="auto"/>
          <w:sz w:val="32"/>
          <w:szCs w:val="32"/>
        </w:rPr>
        <w:t>编制日期：二 〇 二</w:t>
      </w:r>
      <w:r>
        <w:rPr>
          <w:rFonts w:hint="default" w:ascii="Times New Roman" w:hAnsi="Times New Roman" w:cs="Times New Roman"/>
          <w:b/>
          <w:color w:val="auto"/>
          <w:sz w:val="32"/>
          <w:szCs w:val="32"/>
          <w:highlight w:val="none"/>
        </w:rPr>
        <w:t xml:space="preserve"> 〇 年 </w:t>
      </w:r>
      <w:r>
        <w:rPr>
          <w:rFonts w:hint="eastAsia" w:cs="Times New Roman"/>
          <w:b/>
          <w:color w:val="auto"/>
          <w:sz w:val="32"/>
          <w:szCs w:val="32"/>
          <w:highlight w:val="none"/>
          <w:lang w:eastAsia="zh-CN"/>
        </w:rPr>
        <w:t>十</w:t>
      </w:r>
      <w:r>
        <w:rPr>
          <w:rFonts w:hint="default" w:ascii="Times New Roman" w:hAnsi="Times New Roman" w:cs="Times New Roman"/>
          <w:b/>
          <w:color w:val="auto"/>
          <w:sz w:val="32"/>
          <w:szCs w:val="32"/>
          <w:highlight w:val="none"/>
        </w:rPr>
        <w:t xml:space="preserve"> 月</w:t>
      </w:r>
    </w:p>
    <w:p>
      <w:pPr>
        <w:pStyle w:val="4"/>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 xml:space="preserve"> </w:t>
      </w:r>
      <w:r>
        <w:rPr>
          <w:rFonts w:hint="default" w:ascii="Times New Roman" w:hAnsi="Times New Roman" w:cs="Times New Roman"/>
        </w:rPr>
        <w:t>地块概况</w:t>
      </w:r>
      <w:bookmarkEnd w:id="0"/>
      <w:bookmarkEnd w:id="1"/>
      <w:bookmarkEnd w:id="2"/>
      <w:bookmarkEnd w:id="3"/>
      <w:bookmarkEnd w:id="4"/>
      <w:bookmarkEnd w:id="5"/>
      <w:bookmarkEnd w:id="6"/>
      <w:bookmarkEnd w:id="7"/>
      <w:bookmarkEnd w:id="8"/>
      <w:bookmarkEnd w:id="9"/>
      <w:bookmarkEnd w:id="10"/>
      <w:bookmarkEnd w:id="11"/>
      <w:bookmarkEnd w:id="12"/>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rPr>
      </w:pPr>
      <w:r>
        <w:rPr>
          <w:rFonts w:hint="default"/>
        </w:rPr>
        <w:t>河北欧狮顿石油化工有限公司原厂区</w:t>
      </w:r>
      <w:r>
        <w:rPr>
          <w:rFonts w:hint="eastAsia"/>
          <w:lang w:eastAsia="zh-CN"/>
        </w:rPr>
        <w:t>位于沧州市东光县大秦工业园区内，地块总占地面积</w:t>
      </w:r>
      <w:r>
        <w:rPr>
          <w:rFonts w:hint="eastAsia"/>
          <w:lang w:val="en-US" w:eastAsia="zh-CN"/>
        </w:rPr>
        <w:t>8497.1m</w:t>
      </w:r>
      <w:r>
        <w:rPr>
          <w:rFonts w:hint="eastAsia"/>
          <w:vertAlign w:val="superscript"/>
          <w:lang w:val="en-US" w:eastAsia="zh-CN"/>
        </w:rPr>
        <w:t>2</w:t>
      </w:r>
      <w:r>
        <w:rPr>
          <w:rFonts w:hint="eastAsia"/>
          <w:lang w:val="en-US" w:eastAsia="zh-CN"/>
        </w:rPr>
        <w:t>（约合12.74亩），该地块早期为农田；2004年，河北欧狮顿石油化工有限公司在该地块内建厂，从事润滑油的生产、销售；2016年</w:t>
      </w:r>
      <w:r>
        <w:rPr>
          <w:rFonts w:hint="default"/>
        </w:rPr>
        <w:t>河北欧狮顿石油化工有限公司</w:t>
      </w:r>
      <w:r>
        <w:rPr>
          <w:rFonts w:hint="eastAsia"/>
          <w:lang w:eastAsia="zh-CN"/>
        </w:rPr>
        <w:t>全面停产，新厂区搬至东光县城东开发区；目前</w:t>
      </w:r>
      <w:r>
        <w:rPr>
          <w:rFonts w:hint="default"/>
        </w:rPr>
        <w:t>河北欧狮顿石油化工有限公司原厂区</w:t>
      </w:r>
      <w:r>
        <w:rPr>
          <w:rFonts w:hint="eastAsia"/>
          <w:lang w:eastAsia="zh-CN"/>
        </w:rPr>
        <w:t>内除为本次土壤污染状况调查钻探工作拆除两个储罐外，各建（构）筑物均保持原状，各储罐内物料均已清空。</w:t>
      </w:r>
    </w:p>
    <w:p>
      <w:pPr>
        <w:pStyle w:val="4"/>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rPr>
      </w:pPr>
      <w:bookmarkStart w:id="13" w:name="_Toc14987"/>
      <w:bookmarkStart w:id="14" w:name="_Toc744"/>
      <w:bookmarkStart w:id="15" w:name="_Toc28341"/>
      <w:bookmarkStart w:id="16" w:name="_Toc24420"/>
      <w:bookmarkStart w:id="17" w:name="_Toc14933"/>
      <w:bookmarkStart w:id="18" w:name="_Toc4338"/>
      <w:bookmarkStart w:id="19" w:name="_Toc12960"/>
      <w:bookmarkStart w:id="20" w:name="_Toc1129"/>
      <w:bookmarkStart w:id="21" w:name="_Toc763"/>
      <w:bookmarkStart w:id="22" w:name="_Toc27836"/>
      <w:bookmarkStart w:id="23" w:name="_Toc193"/>
      <w:bookmarkStart w:id="24" w:name="_Toc5594"/>
      <w:bookmarkStart w:id="25" w:name="_Toc1950"/>
      <w:r>
        <w:rPr>
          <w:rFonts w:hint="default" w:ascii="Times New Roman" w:hAnsi="Times New Roman" w:cs="Times New Roman"/>
        </w:rPr>
        <w:t>2 土壤检测结果</w:t>
      </w:r>
      <w:bookmarkEnd w:id="13"/>
      <w:bookmarkEnd w:id="14"/>
      <w:bookmarkEnd w:id="15"/>
      <w:bookmarkEnd w:id="16"/>
      <w:bookmarkEnd w:id="17"/>
      <w:bookmarkEnd w:id="18"/>
      <w:bookmarkEnd w:id="19"/>
      <w:bookmarkEnd w:id="20"/>
      <w:bookmarkEnd w:id="21"/>
      <w:bookmarkEnd w:id="22"/>
      <w:bookmarkEnd w:id="23"/>
      <w:bookmarkEnd w:id="24"/>
    </w:p>
    <w:p>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default" w:ascii="Times New Roman" w:hAnsi="Times New Roman" w:cs="Times New Roman"/>
        </w:rPr>
      </w:pPr>
      <w:r>
        <w:rPr>
          <w:rFonts w:hint="default" w:ascii="Times New Roman" w:hAnsi="Times New Roman" w:cs="Times New Roman"/>
        </w:rPr>
        <w:t>根据对本项目地块土壤样品检测结果的分析统计，可得出以下结论。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val="en-US" w:eastAsia="zh-CN"/>
        </w:rPr>
      </w:pPr>
      <w:bookmarkStart w:id="26" w:name="_Toc24392"/>
      <w:r>
        <w:rPr>
          <w:rFonts w:hint="eastAsia"/>
          <w:lang w:val="en-US" w:eastAsia="zh-CN"/>
        </w:rPr>
        <w:t>（1）土壤检测结果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rPr>
      </w:pPr>
      <w:r>
        <w:rPr>
          <w:rFonts w:hint="eastAsia"/>
          <w:lang w:val="en-US" w:eastAsia="zh-CN"/>
        </w:rPr>
        <w:t>①重金属、六价铬：</w:t>
      </w:r>
      <w:r>
        <w:rPr>
          <w:rFonts w:hint="default" w:ascii="Times New Roman" w:hAnsi="Times New Roman" w:cs="Times New Roman"/>
        </w:rPr>
        <w:t>本地块土壤污染状况调查初步采样分析阶段设置的</w:t>
      </w:r>
      <w:r>
        <w:rPr>
          <w:rFonts w:hint="eastAsia" w:ascii="Times New Roman" w:hAnsi="Times New Roman" w:cs="Times New Roman"/>
          <w:lang w:val="en-US" w:eastAsia="zh-CN"/>
        </w:rPr>
        <w:t>6</w:t>
      </w:r>
      <w:r>
        <w:rPr>
          <w:rFonts w:hint="default" w:ascii="Times New Roman" w:hAnsi="Times New Roman" w:cs="Times New Roman"/>
        </w:rPr>
        <w:t>个采样点位中共</w:t>
      </w:r>
      <w:r>
        <w:rPr>
          <w:rFonts w:hint="eastAsia" w:ascii="Times New Roman" w:hAnsi="Times New Roman" w:cs="Times New Roman"/>
          <w:lang w:val="en-US" w:eastAsia="zh-CN"/>
        </w:rPr>
        <w:t>32</w:t>
      </w:r>
      <w:r>
        <w:rPr>
          <w:rFonts w:hint="default" w:ascii="Times New Roman" w:hAnsi="Times New Roman" w:cs="Times New Roman"/>
        </w:rPr>
        <w:t>个土壤样品检测了重金属（砷、镉、铜、铅、汞、镍、六价铬），所有检测土壤样品中重金属因子均有检出，但各检出因子的最大浓度均未超过本次土壤污染状况调查所选用的筛选值。所有土壤样品测定的六价铬全部未检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rPr>
      </w:pPr>
      <w:r>
        <w:rPr>
          <w:rFonts w:hint="eastAsia"/>
          <w:lang w:val="en-US" w:eastAsia="zh-CN"/>
        </w:rPr>
        <w:t>②VOCs：</w:t>
      </w:r>
      <w:r>
        <w:rPr>
          <w:rFonts w:hint="default"/>
        </w:rPr>
        <w:t>本地块土壤污染状况调查初步采样分析阶段设置的</w:t>
      </w:r>
      <w:r>
        <w:rPr>
          <w:rFonts w:hint="eastAsia"/>
          <w:lang w:val="en-US" w:eastAsia="zh-CN"/>
        </w:rPr>
        <w:t>6</w:t>
      </w:r>
      <w:r>
        <w:rPr>
          <w:rFonts w:hint="default"/>
        </w:rPr>
        <w:t>个采样点位中共</w:t>
      </w:r>
      <w:r>
        <w:rPr>
          <w:rFonts w:hint="eastAsia"/>
          <w:lang w:val="en-US" w:eastAsia="zh-CN"/>
        </w:rPr>
        <w:t>32</w:t>
      </w:r>
      <w:r>
        <w:rPr>
          <w:rFonts w:hint="default"/>
        </w:rPr>
        <w:t>个土壤样品检测了VOCs，所有检测土壤样品中VOCs均未检出。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rPr>
      </w:pPr>
      <w:r>
        <w:rPr>
          <w:rFonts w:hint="eastAsia"/>
          <w:lang w:val="en-US" w:eastAsia="zh-CN"/>
        </w:rPr>
        <w:t>③SVOCs：</w:t>
      </w:r>
      <w:r>
        <w:rPr>
          <w:rFonts w:hint="default"/>
        </w:rPr>
        <w:t>本地块土壤污染状况调查初步采样分析阶段设置的</w:t>
      </w:r>
      <w:r>
        <w:rPr>
          <w:rFonts w:hint="eastAsia"/>
          <w:lang w:val="en-US" w:eastAsia="zh-CN"/>
        </w:rPr>
        <w:t>6</w:t>
      </w:r>
      <w:r>
        <w:rPr>
          <w:rFonts w:hint="default"/>
        </w:rPr>
        <w:t>个采样点位中共</w:t>
      </w:r>
      <w:r>
        <w:rPr>
          <w:rFonts w:hint="eastAsia"/>
          <w:lang w:val="en-US" w:eastAsia="zh-CN"/>
        </w:rPr>
        <w:t>32</w:t>
      </w:r>
      <w:r>
        <w:rPr>
          <w:rFonts w:hint="default"/>
        </w:rPr>
        <w:t>个土壤样品检测了VOCs，所有检测土壤样品中VOCs均未检出。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val="en-US" w:eastAsia="zh-CN"/>
        </w:rPr>
      </w:pPr>
      <w:r>
        <w:rPr>
          <w:rFonts w:hint="eastAsia"/>
          <w:lang w:val="en-US" w:eastAsia="zh-CN"/>
        </w:rPr>
        <w:t>④总石油烃：</w:t>
      </w:r>
      <w:r>
        <w:rPr>
          <w:rFonts w:hint="default"/>
        </w:rPr>
        <w:t>本地块土壤污染状况调查初步采样分析阶段设置的</w:t>
      </w:r>
      <w:r>
        <w:rPr>
          <w:rFonts w:hint="eastAsia"/>
          <w:lang w:val="en-US" w:eastAsia="zh-CN"/>
        </w:rPr>
        <w:t>6</w:t>
      </w:r>
      <w:r>
        <w:rPr>
          <w:rFonts w:hint="default"/>
        </w:rPr>
        <w:t>个采样点位中共</w:t>
      </w:r>
      <w:r>
        <w:rPr>
          <w:rFonts w:hint="eastAsia"/>
          <w:lang w:val="en-US" w:eastAsia="zh-CN"/>
        </w:rPr>
        <w:t>32</w:t>
      </w:r>
      <w:r>
        <w:rPr>
          <w:rFonts w:hint="default"/>
        </w:rPr>
        <w:t>个土壤样品检测了</w:t>
      </w:r>
      <w:r>
        <w:rPr>
          <w:rFonts w:hint="eastAsia"/>
          <w:lang w:val="en-US" w:eastAsia="zh-CN"/>
        </w:rPr>
        <w:t>总石油烃</w:t>
      </w:r>
      <w:r>
        <w:rPr>
          <w:rFonts w:hint="default"/>
        </w:rPr>
        <w:t>，</w:t>
      </w:r>
      <w:r>
        <w:rPr>
          <w:rFonts w:hint="eastAsia"/>
          <w:lang w:eastAsia="zh-CN"/>
        </w:rPr>
        <w:t>其中</w:t>
      </w:r>
      <w:r>
        <w:rPr>
          <w:rFonts w:hint="eastAsia"/>
          <w:lang w:val="en-US" w:eastAsia="zh-CN"/>
        </w:rPr>
        <w:t>30个土壤样品中总石油烃有检出，但检出结果均未超过本项目所选用的筛选值。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val="en-US" w:eastAsia="zh-CN"/>
        </w:rPr>
      </w:pPr>
      <w:r>
        <w:rPr>
          <w:rFonts w:hint="eastAsia"/>
          <w:lang w:val="en-US" w:eastAsia="zh-CN"/>
        </w:rPr>
        <w:t>（2）地下水检测结果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val="en-US" w:eastAsia="zh-CN"/>
        </w:rPr>
      </w:pPr>
      <w:bookmarkStart w:id="27" w:name="_Toc15230"/>
      <w:bookmarkStart w:id="28" w:name="_Toc23433"/>
      <w:bookmarkStart w:id="29" w:name="_Toc29205"/>
      <w:bookmarkStart w:id="30" w:name="_Toc1732"/>
      <w:r>
        <w:rPr>
          <w:rFonts w:hint="eastAsia"/>
          <w:lang w:val="en-US" w:eastAsia="zh-CN"/>
        </w:rPr>
        <w:t>本项目地块内地下水检测项目中pH、氨氮、硝酸盐、亚硝酸盐、耗氧量、锰、镍、铜、锌、镉、铅等因子有检出，其中耗氧量、锰检测结果超过《地下水质量标准》（GB/T 14848-2017）的Ⅲ类标准，但未超过Ⅳ类，其他因子检测结果均未超过《地下水质量标准》（GB/T 14848-2017）的Ⅲ类标准。部分点位耗氧量超标可能是由于地表裸露受人类生活活动影响较大，该指标对人体危害不大，根据周边地块的地下水监测结果分析，锰超标属于区域性地下水特征。</w:t>
      </w:r>
    </w:p>
    <w:p>
      <w:pPr>
        <w:pStyle w:val="4"/>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rPr>
      </w:pPr>
      <w:bookmarkStart w:id="31" w:name="_Toc4233"/>
      <w:bookmarkStart w:id="32" w:name="_Toc1036"/>
      <w:r>
        <w:rPr>
          <w:rFonts w:hint="default" w:ascii="Times New Roman" w:hAnsi="Times New Roman" w:cs="Times New Roman"/>
        </w:rPr>
        <w:t>3 调查结论</w:t>
      </w:r>
      <w:bookmarkEnd w:id="25"/>
      <w:bookmarkEnd w:id="26"/>
      <w:bookmarkEnd w:id="27"/>
      <w:bookmarkEnd w:id="28"/>
      <w:bookmarkEnd w:id="29"/>
      <w:bookmarkEnd w:id="30"/>
      <w:bookmarkEnd w:id="31"/>
      <w:bookmarkEnd w:id="32"/>
    </w:p>
    <w:p>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lang w:val="en-US" w:eastAsia="zh-CN"/>
        </w:rPr>
      </w:pPr>
      <w:r>
        <w:rPr>
          <w:rFonts w:hint="default" w:ascii="Times New Roman" w:hAnsi="Times New Roman" w:cs="Times New Roman"/>
        </w:rPr>
        <w:t>根据检测报告统计分析结果，本项目地块内</w:t>
      </w:r>
      <w:r>
        <w:rPr>
          <w:rFonts w:hint="eastAsia" w:ascii="Times New Roman" w:hAnsi="Times New Roman" w:cs="Times New Roman"/>
          <w:lang w:eastAsia="zh-CN"/>
        </w:rPr>
        <w:t>土壤中</w:t>
      </w:r>
      <w:r>
        <w:rPr>
          <w:rFonts w:hint="default" w:ascii="Times New Roman" w:hAnsi="Times New Roman" w:cs="Times New Roman"/>
        </w:rPr>
        <w:t>有检出的</w:t>
      </w:r>
      <w:r>
        <w:rPr>
          <w:rFonts w:hint="eastAsia" w:ascii="Times New Roman" w:hAnsi="Times New Roman" w:cs="Times New Roman"/>
          <w:lang w:eastAsia="zh-CN"/>
        </w:rPr>
        <w:t>因子</w:t>
      </w:r>
      <w:r>
        <w:rPr>
          <w:rFonts w:hint="default" w:ascii="Times New Roman" w:hAnsi="Times New Roman" w:cs="Times New Roman"/>
        </w:rPr>
        <w:t>为</w:t>
      </w:r>
      <w:r>
        <w:rPr>
          <w:rFonts w:hint="eastAsia" w:ascii="Times New Roman" w:hAnsi="Times New Roman" w:cs="Times New Roman"/>
          <w:lang w:eastAsia="zh-CN"/>
        </w:rPr>
        <w:t>：</w:t>
      </w:r>
      <w:r>
        <w:rPr>
          <w:rFonts w:hint="default" w:ascii="Times New Roman" w:hAnsi="Times New Roman" w:cs="Times New Roman"/>
        </w:rPr>
        <w:t>砷、镉、铜、铅、汞、镍、</w:t>
      </w:r>
      <w:r>
        <w:rPr>
          <w:rFonts w:hint="eastAsia" w:ascii="Times New Roman" w:hAnsi="Times New Roman" w:cs="Times New Roman"/>
          <w:lang w:eastAsia="zh-CN"/>
        </w:rPr>
        <w:t>总石油烃，但最大检出浓度均未超过本项目选用的风险筛选值，</w:t>
      </w:r>
      <w:r>
        <w:rPr>
          <w:rFonts w:hint="eastAsia"/>
          <w:lang w:val="en-US" w:eastAsia="zh-CN"/>
        </w:rPr>
        <w:t>地下水检测项目中pH、氨氮、硝酸盐、亚硝酸盐、耗氧量、锰、镍、铜、锌、镉、铅等因子有检出，其中耗氧量、锰检测结果超过《地下水质量标准》（GB/T 14848-2017）的Ⅲ类标准，但未超过Ⅳ类，其他因子检测结果均未超过《地下水质量标准》（GB/T 14848-2017）的Ⅲ类标准。部分点位耗氧量超标可能是由于地表裸露受人类生活活动影响较大，该指标对人体危害不大，根据周边地块的地下水监测结果分析，锰超标属于区域性地下水特征。</w:t>
      </w:r>
      <w:r>
        <w:rPr>
          <w:rFonts w:hint="eastAsia"/>
          <w:highlight w:val="none"/>
          <w:lang w:val="en-US" w:eastAsia="zh-CN"/>
        </w:rPr>
        <w:t>综合分析，地块污染状况满足工业用地要求，可作为工业用地进行开发利用。</w:t>
      </w:r>
    </w:p>
    <w:p>
      <w:pPr>
        <w:pStyle w:val="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color w:val="auto"/>
          <w:highlight w:val="none"/>
          <w:lang w:val="en-US" w:eastAsia="zh-CN"/>
        </w:rPr>
      </w:pPr>
      <w:bookmarkStart w:id="33" w:name="_Toc7419"/>
      <w:r>
        <w:rPr>
          <w:rFonts w:hint="eastAsia"/>
          <w:color w:val="auto"/>
          <w:highlight w:val="none"/>
          <w:lang w:val="en-US" w:eastAsia="zh-CN"/>
        </w:rPr>
        <w:t>4 建议</w:t>
      </w:r>
      <w:bookmarkEnd w:id="33"/>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val="en-US" w:eastAsia="zh-CN"/>
        </w:rPr>
        <w:t>（1）地块内土壤监测结果显示，土壤中总石油烃最大检出浓度为4270mg/kg超过</w:t>
      </w:r>
      <w:r>
        <w:rPr>
          <w:rFonts w:hint="default"/>
        </w:rPr>
        <w:t>《土壤环境质量 建设用地土壤污染风险管控标准（试行）》（GB 36600-2018）</w:t>
      </w:r>
      <w:r>
        <w:rPr>
          <w:rFonts w:hint="eastAsia"/>
          <w:lang w:eastAsia="zh-CN"/>
        </w:rPr>
        <w:t>第一类用地要求（</w:t>
      </w:r>
      <w:r>
        <w:rPr>
          <w:rFonts w:hint="eastAsia"/>
          <w:lang w:val="en-US" w:eastAsia="zh-CN"/>
        </w:rPr>
        <w:t>826mg/kg</w:t>
      </w:r>
      <w:r>
        <w:rPr>
          <w:rFonts w:hint="eastAsia"/>
          <w:lang w:eastAsia="zh-CN"/>
        </w:rPr>
        <w:t>），满足第二类用地要求（</w:t>
      </w:r>
      <w:r>
        <w:rPr>
          <w:rFonts w:hint="eastAsia"/>
          <w:lang w:val="en-US" w:eastAsia="zh-CN"/>
        </w:rPr>
        <w:t>4500mg/kg</w:t>
      </w:r>
      <w:r>
        <w:rPr>
          <w:rFonts w:hint="eastAsia"/>
          <w:lang w:eastAsia="zh-CN"/>
        </w:rPr>
        <w:t>），因此本项目地块只能作为第二类用地进行开发利用。后续企业用地性质如果选用变更或进行流转时，应重新进行详细调查及风险评估工作。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lang w:eastAsia="zh-CN"/>
        </w:rPr>
      </w:pPr>
      <w:r>
        <w:rPr>
          <w:rFonts w:hint="eastAsia"/>
          <w:lang w:eastAsia="zh-CN"/>
        </w:rPr>
        <w:t>（</w:t>
      </w:r>
      <w:r>
        <w:rPr>
          <w:rFonts w:hint="eastAsia"/>
          <w:lang w:val="en-US" w:eastAsia="zh-CN"/>
        </w:rPr>
        <w:t>2</w:t>
      </w:r>
      <w:r>
        <w:rPr>
          <w:rFonts w:hint="eastAsia"/>
          <w:lang w:eastAsia="zh-CN"/>
        </w:rPr>
        <w:t>）企业对罐区地面进行油污清理，避免污染物随雨水进入土壤中，造成污染物进一步扩散。</w:t>
      </w:r>
    </w:p>
    <w:p>
      <w:pPr>
        <w:keepNext w:val="0"/>
        <w:keepLines w:val="0"/>
        <w:pageBreakBefore w:val="0"/>
        <w:widowControl w:val="0"/>
        <w:kinsoku/>
        <w:wordWrap/>
        <w:overflowPunct/>
        <w:topLinePunct w:val="0"/>
        <w:autoSpaceDE/>
        <w:autoSpaceDN/>
        <w:bidi w:val="0"/>
        <w:adjustRightInd/>
        <w:snapToGrid/>
        <w:spacing w:line="500" w:lineRule="exact"/>
        <w:textAlignment w:val="auto"/>
      </w:pPr>
      <w:r>
        <w:rPr>
          <w:rFonts w:hint="eastAsia"/>
          <w:lang w:eastAsia="zh-CN"/>
        </w:rPr>
        <w:t>（</w:t>
      </w:r>
      <w:r>
        <w:rPr>
          <w:rFonts w:hint="eastAsia"/>
          <w:lang w:val="en-US" w:eastAsia="zh-CN"/>
        </w:rPr>
        <w:t>3</w:t>
      </w:r>
      <w:r>
        <w:rPr>
          <w:rFonts w:hint="eastAsia"/>
          <w:lang w:eastAsia="zh-CN"/>
        </w:rPr>
        <w:t>）后续企业拟作为润滑油销售企业，仅进行润滑油的储存、销售，不再进行生产加工，企业在后续土地利用过程中应进一步加强罐区防渗措施，对厂区未防渗区域进行防渗，避免后续企业利用过程中进一步加深土壤污染。</w:t>
      </w:r>
    </w:p>
    <w:sectPr>
      <w:pgSz w:w="11906" w:h="16838"/>
      <w:pgMar w:top="1440" w:right="1800" w:bottom="1440" w:left="180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AB2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0" w:firstLineChars="200"/>
      <w:jc w:val="both"/>
    </w:pPr>
    <w:rPr>
      <w:rFonts w:ascii="Times New Roman" w:hAnsi="Times New Roman" w:eastAsia="宋体" w:cs="Times New Roman"/>
      <w:kern w:val="2"/>
      <w:sz w:val="24"/>
      <w:szCs w:val="24"/>
      <w:lang w:val="en-US" w:eastAsia="zh-CN" w:bidi="ar-SA"/>
    </w:rPr>
  </w:style>
  <w:style w:type="paragraph" w:styleId="4">
    <w:name w:val="heading 2"/>
    <w:basedOn w:val="1"/>
    <w:next w:val="1"/>
    <w:unhideWhenUsed/>
    <w:qFormat/>
    <w:uiPriority w:val="0"/>
    <w:pPr>
      <w:spacing w:before="120" w:after="120" w:line="520" w:lineRule="exact"/>
      <w:ind w:left="0" w:firstLine="0" w:firstLineChars="0"/>
      <w:outlineLvl w:val="1"/>
    </w:pPr>
    <w:rPr>
      <w:b/>
      <w:bCs/>
      <w:sz w:val="30"/>
      <w:szCs w:val="30"/>
    </w:rPr>
  </w:style>
  <w:style w:type="paragraph" w:styleId="3">
    <w:name w:val="heading 4"/>
    <w:basedOn w:val="1"/>
    <w:next w:val="1"/>
    <w:unhideWhenUsed/>
    <w:qFormat/>
    <w:uiPriority w:val="99"/>
    <w:pPr>
      <w:keepNext/>
      <w:keepLines/>
      <w:spacing w:before="60" w:after="60" w:line="520" w:lineRule="exact"/>
      <w:ind w:firstLine="0" w:firstLineChars="0"/>
      <w:jc w:val="left"/>
      <w:outlineLvl w:val="3"/>
    </w:pPr>
    <w:rPr>
      <w:rFonts w:eastAsia="宋体"/>
      <w:b/>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99"/>
    <w:pPr>
      <w:spacing w:line="520" w:lineRule="exact"/>
      <w:ind w:firstLine="42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2020-10-27T07:47:57Z</dcterms:created>
  <dc:creator>Administrator</dc:creator>
  <cp:lastModifiedBy>周波</cp:lastModifiedBy>
  <dcterms:modified xsi:type="dcterms:W3CDTF">2020-10-27T07:51:45Z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