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900" w:firstLineChars="300"/>
        <w:rPr>
          <w:rFonts w:hint="eastAsia" w:eastAsia="宋体"/>
          <w:color w:val="auto"/>
          <w:sz w:val="30"/>
          <w:szCs w:val="30"/>
          <w:lang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position w:val="-54"/>
          <w:sz w:val="22"/>
          <w:szCs w:val="22"/>
          <w:highlight w:val="none"/>
          <w:lang w:val="en-US" w:eastAsia="zh-CN"/>
        </w:rPr>
      </w:pPr>
    </w:p>
    <w:p>
      <w:pPr>
        <w:adjustRightInd w:val="0"/>
        <w:snapToGrid w:val="0"/>
        <w:spacing w:line="520" w:lineRule="exact"/>
        <w:ind w:firstLine="480" w:firstLineChars="200"/>
        <w:jc w:val="both"/>
        <w:rPr>
          <w:rFonts w:hint="default" w:ascii="Times New Roman" w:hAnsi="Times New Roman" w:cs="Times New Roman" w:eastAsiaTheme="minorEastAsia"/>
          <w:color w:val="auto"/>
          <w:sz w:val="24"/>
          <w:szCs w:val="22"/>
          <w:lang w:val="en-US" w:eastAsia="zh-CN" w:bidi="ar-SA"/>
        </w:rPr>
      </w:pPr>
    </w:p>
    <w:p>
      <w:pPr>
        <w:pStyle w:val="6"/>
        <w:topLinePunct/>
        <w:spacing w:line="1000" w:lineRule="exact"/>
        <w:ind w:firstLine="0" w:firstLineChars="0"/>
        <w:rPr>
          <w:rFonts w:hint="eastAsia" w:ascii="Times New Roman" w:hAnsi="Times New Roman" w:eastAsia="宋体" w:cs="Times New Roman"/>
          <w:b/>
          <w:bCs/>
          <w:color w:val="auto"/>
          <w:spacing w:val="20"/>
          <w:sz w:val="52"/>
          <w:szCs w:val="52"/>
          <w:lang w:eastAsia="zh-CN"/>
        </w:rPr>
      </w:pPr>
      <w:bookmarkStart w:id="47" w:name="_GoBack"/>
      <w:r>
        <w:rPr>
          <w:rFonts w:hint="eastAsia" w:ascii="Times New Roman" w:hAnsi="Times New Roman" w:cs="Times New Roman"/>
          <w:b/>
          <w:bCs/>
          <w:color w:val="auto"/>
          <w:spacing w:val="20"/>
          <w:sz w:val="52"/>
          <w:szCs w:val="52"/>
          <w:lang w:eastAsia="zh-CN"/>
        </w:rPr>
        <w:t>沧县范庄子金久精细化工厂地块</w:t>
      </w:r>
    </w:p>
    <w:p>
      <w:pPr>
        <w:pStyle w:val="6"/>
        <w:topLinePunct/>
        <w:spacing w:line="1000" w:lineRule="exact"/>
        <w:ind w:firstLine="0" w:firstLineChars="0"/>
        <w:rPr>
          <w:rFonts w:hint="default" w:ascii="Times New Roman" w:hAnsi="Times New Roman" w:cs="Times New Roman"/>
          <w:b/>
          <w:color w:val="auto"/>
          <w:spacing w:val="20"/>
          <w:sz w:val="56"/>
          <w:szCs w:val="56"/>
        </w:rPr>
      </w:pPr>
      <w:r>
        <w:rPr>
          <w:rFonts w:hint="default" w:ascii="Times New Roman" w:hAnsi="Times New Roman" w:cs="Times New Roman"/>
          <w:b/>
          <w:bCs/>
          <w:color w:val="auto"/>
          <w:spacing w:val="20"/>
          <w:sz w:val="52"/>
          <w:szCs w:val="52"/>
        </w:rPr>
        <w:t>土壤污染状况调查报告</w:t>
      </w:r>
    </w:p>
    <w:p>
      <w:pPr>
        <w:bidi w:val="0"/>
        <w:spacing w:line="360" w:lineRule="auto"/>
        <w:ind w:left="0" w:leftChars="0" w:firstLine="0" w:firstLineChars="0"/>
        <w:jc w:val="center"/>
        <w:rPr>
          <w:rFonts w:ascii="Times New Roman" w:hAnsi="Times New Roman" w:cs="Times New Roman"/>
          <w:b/>
          <w:bCs w:val="0"/>
          <w:color w:val="auto"/>
          <w:sz w:val="48"/>
          <w:szCs w:val="48"/>
          <w:vertAlign w:val="baseline"/>
          <w:lang w:val="en-US" w:eastAsia="zh-CN"/>
        </w:rPr>
      </w:pPr>
      <w:r>
        <w:rPr>
          <w:rFonts w:hint="eastAsia" w:ascii="Times New Roman" w:hAnsi="Times New Roman" w:cs="Times New Roman"/>
          <w:b/>
          <w:bCs w:val="0"/>
          <w:color w:val="auto"/>
          <w:sz w:val="48"/>
          <w:szCs w:val="48"/>
          <w:vertAlign w:val="baseline"/>
          <w:lang w:val="en-US" w:eastAsia="zh-CN"/>
        </w:rPr>
        <w:t>（公示本）</w:t>
      </w:r>
    </w:p>
    <w:bookmarkEnd w:id="47"/>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bidi w:val="0"/>
        <w:rPr>
          <w:rFonts w:ascii="Times New Roman" w:hAnsi="Times New Roman" w:cs="Times New Roman"/>
          <w:color w:val="auto"/>
          <w:lang w:val="en-US" w:eastAsia="zh-CN"/>
        </w:rPr>
      </w:pP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委托单位：侯学发（个人）</w:t>
      </w:r>
    </w:p>
    <w:p>
      <w:pPr>
        <w:pStyle w:val="10"/>
        <w:widowControl w:val="0"/>
        <w:topLinePunct/>
        <w:snapToGrid w:val="0"/>
        <w:spacing w:before="0" w:beforeAutospacing="0" w:after="0" w:afterAutospacing="0" w:line="360" w:lineRule="auto"/>
        <w:jc w:val="both"/>
        <w:rPr>
          <w:rFonts w:hint="default" w:ascii="Times New Roman" w:hAnsi="Times New Roman" w:cs="Times New Roman"/>
          <w:b/>
          <w:color w:val="auto"/>
          <w:kern w:val="2"/>
          <w:sz w:val="36"/>
          <w:szCs w:val="36"/>
        </w:rPr>
      </w:pPr>
      <w:r>
        <w:rPr>
          <w:rFonts w:hint="default" w:ascii="Times New Roman" w:hAnsi="Times New Roman" w:cs="Times New Roman"/>
          <w:b/>
          <w:color w:val="auto"/>
          <w:kern w:val="2"/>
          <w:sz w:val="36"/>
          <w:szCs w:val="36"/>
        </w:rPr>
        <w:t>编制单位：河北靓源环保工程有限公司</w:t>
      </w:r>
    </w:p>
    <w:p>
      <w:pPr>
        <w:spacing w:line="360" w:lineRule="auto"/>
        <w:rPr>
          <w:rFonts w:ascii="Times New Roman" w:hAnsi="Times New Roman" w:cs="Times New Roman"/>
          <w:color w:val="auto"/>
          <w:sz w:val="30"/>
          <w:szCs w:val="30"/>
        </w:rPr>
      </w:pPr>
      <w:r>
        <w:rPr>
          <w:rFonts w:hint="default" w:ascii="Times New Roman" w:hAnsi="Times New Roman" w:cs="Times New Roman"/>
          <w:b/>
          <w:color w:val="auto"/>
          <w:kern w:val="2"/>
          <w:sz w:val="36"/>
          <w:szCs w:val="36"/>
        </w:rPr>
        <w:t xml:space="preserve">编制日期：二 〇 二 〇 年 </w:t>
      </w:r>
      <w:r>
        <w:rPr>
          <w:rFonts w:hint="eastAsia" w:ascii="Times New Roman" w:hAnsi="Times New Roman" w:cs="Times New Roman"/>
          <w:b/>
          <w:color w:val="auto"/>
          <w:kern w:val="2"/>
          <w:sz w:val="36"/>
          <w:szCs w:val="36"/>
          <w:lang w:eastAsia="zh-CN"/>
        </w:rPr>
        <w:t>十</w:t>
      </w:r>
      <w:r>
        <w:rPr>
          <w:rFonts w:hint="default" w:ascii="Times New Roman" w:hAnsi="Times New Roman" w:cs="Times New Roman"/>
          <w:b/>
          <w:color w:val="auto"/>
          <w:kern w:val="2"/>
          <w:sz w:val="36"/>
          <w:szCs w:val="36"/>
        </w:rPr>
        <w:t xml:space="preserve"> 月</w:t>
      </w:r>
    </w:p>
    <w:p>
      <w:pPr>
        <w:tabs>
          <w:tab w:val="left" w:pos="1803"/>
        </w:tabs>
        <w:bidi w:val="0"/>
        <w:jc w:val="left"/>
        <w:rPr>
          <w:color w:val="auto"/>
          <w:lang w:val="en-US" w:eastAsia="zh-CN"/>
        </w:rPr>
        <w:sectPr>
          <w:pgSz w:w="11906" w:h="16838"/>
          <w:pgMar w:top="1440" w:right="1800" w:bottom="1440" w:left="1800" w:header="851" w:footer="992" w:gutter="0"/>
          <w:cols w:space="425" w:num="1"/>
          <w:docGrid w:type="lines" w:linePitch="312" w:charSpace="0"/>
        </w:sectPr>
      </w:pPr>
    </w:p>
    <w:p>
      <w:pPr>
        <w:pStyle w:val="5"/>
        <w:rPr>
          <w:rFonts w:hint="default" w:ascii="Times New Roman" w:hAnsi="Times New Roman" w:cs="Times New Roman"/>
          <w:color w:val="auto"/>
          <w:highlight w:val="none"/>
        </w:rPr>
      </w:pPr>
      <w:bookmarkStart w:id="0" w:name="_Toc10094"/>
      <w:bookmarkStart w:id="1" w:name="_Toc27508"/>
      <w:bookmarkStart w:id="2" w:name="_Toc29623"/>
      <w:bookmarkStart w:id="3" w:name="_Toc15590"/>
      <w:bookmarkStart w:id="4" w:name="_Toc6266"/>
      <w:bookmarkStart w:id="5" w:name="_Toc32184"/>
      <w:bookmarkStart w:id="6" w:name="_Toc16545"/>
      <w:bookmarkStart w:id="7" w:name="_Toc9131"/>
      <w:bookmarkStart w:id="8" w:name="_Toc3010"/>
      <w:bookmarkStart w:id="9" w:name="_Toc18003"/>
      <w:bookmarkStart w:id="10" w:name="_Toc28744"/>
      <w:bookmarkStart w:id="11" w:name="_Toc1002"/>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lang w:eastAsia="zh-CN"/>
        </w:rPr>
        <w:t>企业</w:t>
      </w:r>
      <w:r>
        <w:rPr>
          <w:rFonts w:hint="default" w:ascii="Times New Roman" w:hAnsi="Times New Roman" w:cs="Times New Roman"/>
          <w:color w:val="auto"/>
          <w:highlight w:val="none"/>
        </w:rPr>
        <w:t>概况</w:t>
      </w:r>
      <w:bookmarkEnd w:id="0"/>
      <w:bookmarkEnd w:id="1"/>
      <w:bookmarkEnd w:id="2"/>
      <w:bookmarkEnd w:id="3"/>
      <w:bookmarkEnd w:id="4"/>
      <w:bookmarkEnd w:id="5"/>
      <w:bookmarkEnd w:id="6"/>
      <w:bookmarkEnd w:id="7"/>
      <w:bookmarkEnd w:id="8"/>
      <w:bookmarkEnd w:id="9"/>
      <w:bookmarkEnd w:id="10"/>
      <w:bookmarkEnd w:id="11"/>
    </w:p>
    <w:p>
      <w:pPr>
        <w:ind w:firstLine="480"/>
        <w:rPr>
          <w:rFonts w:hint="default" w:eastAsia="宋体" w:cs="Times New Roman"/>
          <w:color w:val="auto"/>
          <w:lang w:val="en-US" w:eastAsia="zh-CN"/>
        </w:rPr>
      </w:pPr>
      <w:bookmarkStart w:id="12" w:name="_Toc23754"/>
      <w:bookmarkStart w:id="13" w:name="_Toc18210"/>
      <w:bookmarkStart w:id="14" w:name="_Toc11857"/>
      <w:bookmarkStart w:id="15" w:name="_Toc24935"/>
      <w:bookmarkStart w:id="16" w:name="_Toc1734"/>
      <w:bookmarkStart w:id="17" w:name="_Toc21244"/>
      <w:bookmarkStart w:id="18" w:name="_Toc22210"/>
      <w:bookmarkStart w:id="19" w:name="_Toc23724"/>
      <w:bookmarkStart w:id="20" w:name="_Toc11747"/>
      <w:bookmarkStart w:id="21" w:name="_Toc25999"/>
      <w:bookmarkStart w:id="22" w:name="_Toc31102"/>
      <w:bookmarkStart w:id="23" w:name="_Toc24902"/>
      <w:r>
        <w:rPr>
          <w:rFonts w:hint="eastAsia"/>
          <w:color w:val="auto"/>
          <w:lang w:eastAsia="zh-CN"/>
        </w:rPr>
        <w:t>沧县范庄子金久精细化工厂地块</w:t>
      </w:r>
      <w:r>
        <w:rPr>
          <w:rFonts w:hint="default"/>
          <w:color w:val="auto"/>
        </w:rPr>
        <w:t>位于</w:t>
      </w:r>
      <w:r>
        <w:rPr>
          <w:rFonts w:hint="eastAsia"/>
          <w:color w:val="auto"/>
          <w:lang w:eastAsia="zh-CN"/>
        </w:rPr>
        <w:t>河北省沧州市沧县薛官屯乡范庄子村，</w:t>
      </w:r>
      <w:r>
        <w:rPr>
          <w:rFonts w:hint="eastAsia" w:ascii="Times New Roman" w:hAnsi="Times New Roman" w:cs="Times New Roman"/>
          <w:color w:val="auto"/>
          <w:sz w:val="24"/>
          <w:szCs w:val="24"/>
        </w:rPr>
        <w:t>东</w:t>
      </w:r>
      <w:r>
        <w:rPr>
          <w:rFonts w:hint="eastAsia" w:cs="Times New Roman"/>
          <w:color w:val="auto"/>
          <w:sz w:val="24"/>
          <w:szCs w:val="24"/>
          <w:lang w:eastAsia="zh-CN"/>
        </w:rPr>
        <w:t>至乡村小路，</w:t>
      </w:r>
      <w:r>
        <w:rPr>
          <w:rFonts w:hint="eastAsia" w:ascii="Times New Roman" w:hAnsi="Times New Roman" w:cs="Times New Roman"/>
          <w:color w:val="auto"/>
          <w:sz w:val="24"/>
          <w:szCs w:val="24"/>
        </w:rPr>
        <w:t>西</w:t>
      </w:r>
      <w:r>
        <w:rPr>
          <w:rFonts w:hint="eastAsia" w:cs="Times New Roman"/>
          <w:color w:val="auto"/>
          <w:sz w:val="24"/>
          <w:szCs w:val="24"/>
          <w:lang w:eastAsia="zh-CN"/>
        </w:rPr>
        <w:t>至居民区，</w:t>
      </w:r>
      <w:r>
        <w:rPr>
          <w:rFonts w:hint="eastAsia" w:ascii="Times New Roman" w:hAnsi="Times New Roman" w:cs="Times New Roman"/>
          <w:color w:val="auto"/>
          <w:sz w:val="24"/>
          <w:szCs w:val="24"/>
        </w:rPr>
        <w:t>南</w:t>
      </w:r>
      <w:r>
        <w:rPr>
          <w:rFonts w:hint="eastAsia" w:cs="Times New Roman"/>
          <w:color w:val="auto"/>
          <w:sz w:val="24"/>
          <w:szCs w:val="24"/>
          <w:lang w:eastAsia="zh-CN"/>
        </w:rPr>
        <w:t>至乡村小路，</w:t>
      </w:r>
      <w:r>
        <w:rPr>
          <w:rFonts w:hint="eastAsia" w:ascii="Times New Roman" w:hAnsi="Times New Roman" w:cs="Times New Roman"/>
          <w:color w:val="auto"/>
          <w:sz w:val="24"/>
          <w:szCs w:val="24"/>
        </w:rPr>
        <w:t>北</w:t>
      </w:r>
      <w:r>
        <w:rPr>
          <w:rFonts w:hint="eastAsia" w:cs="Times New Roman"/>
          <w:color w:val="auto"/>
          <w:sz w:val="24"/>
          <w:szCs w:val="24"/>
          <w:lang w:eastAsia="zh-CN"/>
        </w:rPr>
        <w:t>至居民区；</w:t>
      </w:r>
      <w:r>
        <w:rPr>
          <w:rFonts w:hint="default" w:ascii="Times New Roman" w:hAnsi="Times New Roman" w:cs="Times New Roman"/>
          <w:color w:val="auto"/>
        </w:rPr>
        <w:t>地块总占地面积</w:t>
      </w:r>
      <w:r>
        <w:rPr>
          <w:rFonts w:hint="eastAsia" w:cs="Times New Roman"/>
          <w:color w:val="auto"/>
          <w:lang w:val="en-US" w:eastAsia="zh-CN"/>
        </w:rPr>
        <w:t>2300</w:t>
      </w:r>
      <w:r>
        <w:rPr>
          <w:rFonts w:hint="default" w:ascii="Times New Roman" w:hAnsi="Times New Roman" w:cs="Times New Roman"/>
          <w:color w:val="auto"/>
          <w:highlight w:val="none"/>
        </w:rPr>
        <w:t>m²（约合</w:t>
      </w:r>
      <w:r>
        <w:rPr>
          <w:rFonts w:hint="eastAsia" w:cs="Times New Roman"/>
          <w:color w:val="auto"/>
          <w:highlight w:val="none"/>
          <w:lang w:val="en-US" w:eastAsia="zh-CN"/>
        </w:rPr>
        <w:t>3.45</w:t>
      </w:r>
      <w:r>
        <w:rPr>
          <w:rFonts w:hint="default" w:ascii="Times New Roman" w:hAnsi="Times New Roman" w:cs="Times New Roman"/>
          <w:color w:val="auto"/>
          <w:highlight w:val="none"/>
        </w:rPr>
        <w:t>亩）</w:t>
      </w:r>
      <w:r>
        <w:rPr>
          <w:rFonts w:hint="eastAsia" w:cs="Times New Roman"/>
          <w:color w:val="auto"/>
          <w:highlight w:val="none"/>
          <w:lang w:eastAsia="zh-CN"/>
        </w:rPr>
        <w:t>。该地块</w:t>
      </w:r>
      <w:r>
        <w:rPr>
          <w:rFonts w:hint="eastAsia"/>
          <w:color w:val="auto"/>
          <w:lang w:val="en-US" w:eastAsia="zh-CN"/>
        </w:rPr>
        <w:t>2005年之前为小学，2005年由</w:t>
      </w:r>
      <w:r>
        <w:rPr>
          <w:rFonts w:hint="default" w:ascii="Times New Roman" w:hAnsi="Times New Roman" w:cs="Times New Roman"/>
          <w:color w:val="auto"/>
        </w:rPr>
        <w:t>侯学发（个人）</w:t>
      </w:r>
      <w:r>
        <w:rPr>
          <w:rFonts w:hint="eastAsia" w:cs="Times New Roman"/>
          <w:color w:val="auto"/>
          <w:lang w:eastAsia="zh-CN"/>
        </w:rPr>
        <w:t>购买土地使用权后，闲置至</w:t>
      </w:r>
      <w:r>
        <w:rPr>
          <w:rFonts w:hint="eastAsia" w:cs="Times New Roman"/>
          <w:color w:val="auto"/>
          <w:lang w:val="en-US" w:eastAsia="zh-CN"/>
        </w:rPr>
        <w:t>2012年</w:t>
      </w:r>
      <w:r>
        <w:rPr>
          <w:rFonts w:hint="eastAsia" w:cs="Times New Roman"/>
          <w:color w:val="auto"/>
          <w:lang w:eastAsia="zh-CN"/>
        </w:rPr>
        <w:t>，</w:t>
      </w:r>
      <w:r>
        <w:rPr>
          <w:rFonts w:hint="eastAsia" w:cs="Times New Roman"/>
          <w:color w:val="auto"/>
          <w:lang w:val="en-US" w:eastAsia="zh-CN"/>
        </w:rPr>
        <w:t>2012年1月至6月试生产硅油半年</w:t>
      </w:r>
      <w:r>
        <w:rPr>
          <w:rFonts w:hint="eastAsia" w:cs="Times New Roman"/>
          <w:color w:val="auto"/>
          <w:highlight w:val="none"/>
          <w:lang w:eastAsia="zh-CN"/>
        </w:rPr>
        <w:t>；</w:t>
      </w:r>
      <w:r>
        <w:rPr>
          <w:rFonts w:hint="eastAsia" w:cs="Times New Roman"/>
          <w:color w:val="auto"/>
          <w:highlight w:val="none"/>
          <w:lang w:val="en-US" w:eastAsia="zh-CN"/>
        </w:rPr>
        <w:t>后闲置至2018年5月；2018年6月购置两台车床进行了设备调试，未进行生产</w:t>
      </w:r>
      <w:r>
        <w:rPr>
          <w:rFonts w:hint="eastAsia" w:cs="Times New Roman"/>
          <w:color w:val="auto"/>
          <w:lang w:val="en-US" w:eastAsia="zh-CN"/>
        </w:rPr>
        <w:t>，后闲置至今。</w:t>
      </w:r>
    </w:p>
    <w:p>
      <w:pPr>
        <w:pStyle w:val="5"/>
        <w:rPr>
          <w:rFonts w:hint="default" w:ascii="Times New Roman" w:hAnsi="Times New Roman" w:cs="Times New Roman"/>
          <w:color w:val="auto"/>
          <w:highlight w:val="none"/>
        </w:rPr>
      </w:pPr>
      <w:r>
        <w:rPr>
          <w:rFonts w:hint="default" w:ascii="Times New Roman" w:hAnsi="Times New Roman" w:cs="Times New Roman"/>
          <w:color w:val="auto"/>
          <w:highlight w:val="none"/>
        </w:rPr>
        <w:t>2 现场采样和检测</w:t>
      </w:r>
      <w:bookmarkEnd w:id="12"/>
      <w:bookmarkEnd w:id="13"/>
      <w:bookmarkEnd w:id="14"/>
      <w:bookmarkEnd w:id="15"/>
      <w:bookmarkEnd w:id="16"/>
      <w:bookmarkEnd w:id="17"/>
      <w:bookmarkEnd w:id="18"/>
      <w:bookmarkEnd w:id="19"/>
      <w:bookmarkEnd w:id="20"/>
      <w:bookmarkEnd w:id="21"/>
      <w:bookmarkEnd w:id="22"/>
      <w:bookmarkEnd w:id="23"/>
    </w:p>
    <w:p>
      <w:pPr>
        <w:ind w:firstLine="480"/>
        <w:rPr>
          <w:rFonts w:hint="default" w:ascii="Times New Roman" w:hAnsi="Times New Roman" w:cs="Times New Roman"/>
          <w:color w:val="auto"/>
        </w:rPr>
      </w:pPr>
      <w:bookmarkStart w:id="24" w:name="_Toc12793"/>
      <w:bookmarkStart w:id="25" w:name="_Toc24980"/>
      <w:bookmarkStart w:id="26" w:name="_Toc4266"/>
      <w:bookmarkStart w:id="27" w:name="_Toc32447"/>
      <w:bookmarkStart w:id="28" w:name="_Toc11834"/>
      <w:bookmarkStart w:id="29" w:name="_Toc26979"/>
      <w:bookmarkStart w:id="30" w:name="_Toc11635"/>
      <w:bookmarkStart w:id="31" w:name="_Toc18075"/>
      <w:bookmarkStart w:id="32" w:name="_Toc7804"/>
      <w:bookmarkStart w:id="33" w:name="_Toc21463"/>
      <w:bookmarkStart w:id="34" w:name="_Toc1501"/>
      <w:bookmarkStart w:id="35" w:name="_Toc30638"/>
      <w:r>
        <w:rPr>
          <w:rFonts w:hint="default" w:ascii="Times New Roman" w:hAnsi="Times New Roman" w:cs="Times New Roman"/>
          <w:color w:val="auto"/>
        </w:rPr>
        <w:t>我单位于</w:t>
      </w:r>
      <w:r>
        <w:rPr>
          <w:rFonts w:hint="default" w:cs="Times New Roman"/>
          <w:color w:val="auto"/>
          <w:lang w:val="en-US" w:eastAsia="zh-CN"/>
        </w:rPr>
        <w:t>2020</w:t>
      </w:r>
      <w:r>
        <w:rPr>
          <w:rFonts w:hint="default" w:ascii="Times New Roman" w:hAnsi="Times New Roman" w:cs="Times New Roman"/>
          <w:color w:val="auto"/>
        </w:rPr>
        <w:t>年</w:t>
      </w:r>
      <w:r>
        <w:rPr>
          <w:rFonts w:hint="eastAsia" w:cs="Times New Roman"/>
          <w:color w:val="auto"/>
          <w:lang w:val="en-US" w:eastAsia="zh-CN"/>
        </w:rPr>
        <w:t>8</w:t>
      </w:r>
      <w:r>
        <w:rPr>
          <w:rFonts w:hint="default" w:ascii="Times New Roman" w:hAnsi="Times New Roman" w:cs="Times New Roman"/>
          <w:color w:val="auto"/>
        </w:rPr>
        <w:t>月</w:t>
      </w:r>
      <w:r>
        <w:rPr>
          <w:rFonts w:hint="eastAsia" w:cs="Times New Roman"/>
          <w:color w:val="auto"/>
          <w:lang w:val="en-US" w:eastAsia="zh-CN"/>
        </w:rPr>
        <w:t>24</w:t>
      </w:r>
      <w:r>
        <w:rPr>
          <w:rFonts w:hint="default" w:ascii="Times New Roman" w:hAnsi="Times New Roman" w:cs="Times New Roman"/>
          <w:color w:val="auto"/>
        </w:rPr>
        <w:t>日对项目地块进行了</w:t>
      </w:r>
      <w:r>
        <w:rPr>
          <w:rFonts w:hint="default" w:ascii="Times New Roman" w:hAnsi="Times New Roman" w:cs="Times New Roman"/>
          <w:color w:val="auto"/>
          <w:lang w:eastAsia="zh-CN"/>
        </w:rPr>
        <w:t>钻探</w:t>
      </w:r>
      <w:r>
        <w:rPr>
          <w:rFonts w:hint="default" w:ascii="Times New Roman" w:hAnsi="Times New Roman" w:cs="Times New Roman"/>
          <w:color w:val="auto"/>
        </w:rPr>
        <w:t>采样，地块采用</w:t>
      </w:r>
      <w:r>
        <w:rPr>
          <w:rFonts w:hint="eastAsia" w:cs="Times New Roman"/>
          <w:color w:val="auto"/>
          <w:lang w:eastAsia="zh-CN"/>
        </w:rPr>
        <w:t>判断</w:t>
      </w:r>
      <w:r>
        <w:rPr>
          <w:rFonts w:hint="default" w:ascii="Times New Roman" w:hAnsi="Times New Roman" w:cs="Times New Roman"/>
          <w:color w:val="auto"/>
        </w:rPr>
        <w:t>布点法共布设</w:t>
      </w:r>
      <w:r>
        <w:rPr>
          <w:rFonts w:hint="eastAsia" w:cs="Times New Roman"/>
          <w:color w:val="auto"/>
          <w:lang w:val="en-US" w:eastAsia="zh-CN"/>
        </w:rPr>
        <w:t>3</w:t>
      </w:r>
      <w:r>
        <w:rPr>
          <w:rFonts w:hint="default" w:ascii="Times New Roman" w:hAnsi="Times New Roman" w:cs="Times New Roman"/>
          <w:color w:val="auto"/>
        </w:rPr>
        <w:t>个土壤采样点位，共采集土壤样品</w:t>
      </w:r>
      <w:r>
        <w:rPr>
          <w:rFonts w:hint="eastAsia" w:cs="Times New Roman"/>
          <w:color w:val="auto"/>
          <w:lang w:val="en-US" w:eastAsia="zh-CN"/>
        </w:rPr>
        <w:t>12</w:t>
      </w:r>
      <w:r>
        <w:rPr>
          <w:rFonts w:hint="default" w:ascii="Times New Roman" w:hAnsi="Times New Roman" w:cs="Times New Roman"/>
          <w:color w:val="auto"/>
        </w:rPr>
        <w:t>组，另有</w:t>
      </w:r>
      <w:r>
        <w:rPr>
          <w:rFonts w:hint="eastAsia" w:cs="Times New Roman"/>
          <w:color w:val="auto"/>
          <w:lang w:val="en-US" w:eastAsia="zh-CN"/>
        </w:rPr>
        <w:t>2</w:t>
      </w:r>
      <w:r>
        <w:rPr>
          <w:rFonts w:hint="default" w:ascii="Times New Roman" w:hAnsi="Times New Roman" w:cs="Times New Roman"/>
          <w:color w:val="auto"/>
        </w:rPr>
        <w:t>组现场平行样；</w:t>
      </w:r>
      <w:r>
        <w:rPr>
          <w:rFonts w:hint="eastAsia" w:cs="Times New Roman"/>
          <w:color w:val="auto"/>
          <w:lang w:val="en-US" w:eastAsia="zh-CN"/>
        </w:rPr>
        <w:t>2020年9月4日</w:t>
      </w:r>
      <w:r>
        <w:rPr>
          <w:rFonts w:hint="default" w:cs="Times New Roman"/>
          <w:color w:val="auto"/>
          <w:lang w:eastAsia="zh-CN"/>
        </w:rPr>
        <w:t>采集</w:t>
      </w:r>
      <w:r>
        <w:rPr>
          <w:rFonts w:hint="eastAsia" w:cs="Times New Roman"/>
          <w:color w:val="auto"/>
          <w:lang w:val="en-US" w:eastAsia="zh-CN"/>
        </w:rPr>
        <w:t>1</w:t>
      </w:r>
      <w:r>
        <w:rPr>
          <w:rFonts w:hint="default" w:cs="Times New Roman"/>
          <w:color w:val="auto"/>
          <w:lang w:val="en-US" w:eastAsia="zh-CN"/>
        </w:rPr>
        <w:t>组</w:t>
      </w:r>
      <w:r>
        <w:rPr>
          <w:rFonts w:hint="default" w:cs="Times New Roman"/>
          <w:color w:val="auto"/>
          <w:lang w:eastAsia="zh-CN"/>
        </w:rPr>
        <w:t>地下水样品，另有</w:t>
      </w:r>
      <w:r>
        <w:rPr>
          <w:rFonts w:hint="default" w:cs="Times New Roman"/>
          <w:color w:val="auto"/>
          <w:lang w:val="en-US" w:eastAsia="zh-CN"/>
        </w:rPr>
        <w:t>1组现场平行样</w:t>
      </w:r>
      <w:r>
        <w:rPr>
          <w:rFonts w:hint="default" w:ascii="Times New Roman" w:hAnsi="Times New Roman" w:cs="Times New Roman"/>
          <w:color w:val="auto"/>
        </w:rPr>
        <w:t>。</w:t>
      </w:r>
    </w:p>
    <w:p>
      <w:pPr>
        <w:ind w:firstLine="480"/>
        <w:rPr>
          <w:rFonts w:hint="default" w:ascii="Times New Roman" w:hAnsi="Times New Roman" w:cs="Times New Roman"/>
          <w:color w:val="auto"/>
        </w:rPr>
      </w:pPr>
      <w:r>
        <w:rPr>
          <w:rFonts w:hint="default" w:ascii="Times New Roman" w:hAnsi="Times New Roman" w:cs="Times New Roman"/>
          <w:color w:val="auto"/>
        </w:rPr>
        <w:t>本项目调查采样全部由我单位技术人员根据制定的采样方案进行。本项目采集的所有土壤样品全部</w:t>
      </w:r>
      <w:r>
        <w:rPr>
          <w:rFonts w:hint="default" w:ascii="Times New Roman" w:hAnsi="Times New Roman" w:cs="Times New Roman"/>
          <w:color w:val="auto"/>
          <w:lang w:eastAsia="zh-CN"/>
        </w:rPr>
        <w:t>由</w:t>
      </w:r>
      <w:r>
        <w:rPr>
          <w:rFonts w:hint="default" w:ascii="Times New Roman" w:hAnsi="Times New Roman" w:cs="Times New Roman"/>
          <w:color w:val="auto"/>
        </w:rPr>
        <w:t>经计量认证合格的河北百润环境检测技术有限公司</w:t>
      </w:r>
      <w:r>
        <w:rPr>
          <w:rFonts w:hint="default" w:ascii="Times New Roman" w:hAnsi="Times New Roman" w:cs="Times New Roman"/>
          <w:color w:val="auto"/>
          <w:lang w:eastAsia="zh-CN"/>
        </w:rPr>
        <w:t>实验室</w:t>
      </w:r>
      <w:r>
        <w:rPr>
          <w:rFonts w:hint="default" w:ascii="Times New Roman" w:hAnsi="Times New Roman" w:cs="Times New Roman"/>
          <w:color w:val="auto"/>
        </w:rPr>
        <w:t>进行检测分析，目前已提供了全部检测样品的检测报告及质控报告。</w:t>
      </w:r>
    </w:p>
    <w:p>
      <w:pPr>
        <w:pStyle w:val="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 </w:t>
      </w:r>
      <w:bookmarkEnd w:id="24"/>
      <w:r>
        <w:rPr>
          <w:rFonts w:hint="default" w:ascii="Times New Roman" w:hAnsi="Times New Roman" w:cs="Times New Roman"/>
          <w:color w:val="auto"/>
          <w:highlight w:val="none"/>
          <w:lang w:eastAsia="zh-CN"/>
        </w:rPr>
        <w:t>地块</w:t>
      </w:r>
      <w:r>
        <w:rPr>
          <w:rFonts w:hint="default" w:ascii="Times New Roman" w:hAnsi="Times New Roman" w:cs="Times New Roman"/>
          <w:color w:val="auto"/>
          <w:highlight w:val="none"/>
        </w:rPr>
        <w:t>检测结果分析</w:t>
      </w:r>
      <w:bookmarkEnd w:id="25"/>
      <w:bookmarkEnd w:id="26"/>
      <w:bookmarkEnd w:id="27"/>
      <w:bookmarkEnd w:id="28"/>
      <w:bookmarkEnd w:id="29"/>
      <w:bookmarkEnd w:id="30"/>
      <w:bookmarkEnd w:id="31"/>
      <w:bookmarkEnd w:id="32"/>
      <w:bookmarkEnd w:id="33"/>
      <w:bookmarkEnd w:id="34"/>
      <w:bookmarkEnd w:id="35"/>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cs="Times New Roman"/>
          <w:color w:val="auto"/>
          <w:highlight w:val="none"/>
          <w:lang w:val="en-US" w:eastAsia="zh-CN"/>
        </w:rPr>
      </w:pPr>
      <w:bookmarkStart w:id="36" w:name="_Toc20384"/>
      <w:bookmarkStart w:id="37" w:name="_Toc19815"/>
      <w:bookmarkStart w:id="38" w:name="_Toc22591"/>
      <w:bookmarkStart w:id="39" w:name="_Toc24047"/>
      <w:bookmarkStart w:id="40" w:name="_Toc1900"/>
      <w:bookmarkStart w:id="41" w:name="_Toc22668"/>
      <w:bookmarkStart w:id="42" w:name="_Toc11649"/>
      <w:bookmarkStart w:id="43" w:name="_Toc24903"/>
      <w:bookmarkStart w:id="44" w:name="_Toc17123"/>
      <w:bookmarkStart w:id="45" w:name="_Toc2089"/>
      <w:bookmarkStart w:id="46" w:name="_Toc32766"/>
      <w:r>
        <w:rPr>
          <w:rFonts w:hint="default" w:ascii="Times New Roman" w:hAnsi="Times New Roman" w:cs="Times New Roman"/>
          <w:color w:val="auto"/>
          <w:highlight w:val="none"/>
          <w:lang w:val="en-US" w:eastAsia="zh-CN"/>
        </w:rPr>
        <w:t>根据地块土壤样品检测结果，地块内测定的3个采样点位12个样品中，所有土壤样品重金属因子均有检出，但各检出因子的最大浓度均未超过本地块土壤调查所选用的筛选值，最大值出现在S3点位锅炉房及煤炭储存区附近，考虑与煤炭遗撒与锅炉含煤烟尘的大气沉降有关；六价铬、VOCs、SVOCs、多环芳烃全部未检出。</w:t>
      </w:r>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根据地下水样品检测结果，</w:t>
      </w:r>
      <w:r>
        <w:rPr>
          <w:rFonts w:hint="eastAsia" w:cs="Times New Roman"/>
          <w:color w:val="auto"/>
          <w:highlight w:val="none"/>
          <w:lang w:val="en-US" w:eastAsia="zh-CN"/>
        </w:rPr>
        <w:t>在检测的指标中由</w:t>
      </w:r>
      <w:r>
        <w:rPr>
          <w:rFonts w:hint="default" w:ascii="Times New Roman" w:hAnsi="Times New Roman" w:cs="Times New Roman"/>
          <w:color w:val="auto"/>
          <w:highlight w:val="none"/>
          <w:lang w:val="en-US" w:eastAsia="zh-CN"/>
        </w:rPr>
        <w:t>pH</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耗氧量</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硝酸盐（以N计）</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亚硝酸盐（以N计）</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镍</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铜</w:t>
      </w:r>
      <w:r>
        <w:rPr>
          <w:rFonts w:hint="eastAsia" w:cs="Times New Roman"/>
          <w:color w:val="auto"/>
          <w:highlight w:val="none"/>
          <w:lang w:val="en-US" w:eastAsia="zh-CN"/>
        </w:rPr>
        <w:t>等因子有检出，但检出指标的浓度均未超出</w:t>
      </w:r>
      <w:r>
        <w:rPr>
          <w:rFonts w:hint="default" w:cs="Times New Roman"/>
          <w:color w:val="auto"/>
          <w:highlight w:val="none"/>
          <w:lang w:val="en-US" w:eastAsia="zh-CN"/>
        </w:rPr>
        <w:t>《地下水质量标准》（GB/T 14848</w:t>
      </w:r>
      <w:r>
        <w:rPr>
          <w:rFonts w:hint="eastAsia" w:cs="Times New Roman"/>
          <w:color w:val="auto"/>
          <w:highlight w:val="none"/>
          <w:lang w:val="en-US" w:eastAsia="zh-CN"/>
        </w:rPr>
        <w:t>-</w:t>
      </w:r>
      <w:r>
        <w:rPr>
          <w:rFonts w:hint="default" w:cs="Times New Roman"/>
          <w:color w:val="auto"/>
          <w:highlight w:val="none"/>
          <w:lang w:val="en-US" w:eastAsia="zh-CN"/>
        </w:rPr>
        <w:t>2017）Ⅲ类标准</w:t>
      </w:r>
      <w:r>
        <w:rPr>
          <w:rFonts w:hint="eastAsia" w:cs="Times New Roman"/>
          <w:color w:val="auto"/>
          <w:highlight w:val="none"/>
          <w:lang w:val="en-US" w:eastAsia="zh-CN"/>
        </w:rPr>
        <w:t>。</w:t>
      </w:r>
      <w:r>
        <w:rPr>
          <w:rFonts w:hint="default" w:cs="Times New Roman"/>
          <w:color w:val="auto"/>
          <w:highlight w:val="none"/>
          <w:lang w:val="en-US" w:eastAsia="zh-CN"/>
        </w:rPr>
        <w:t>VO</w:t>
      </w:r>
      <w:r>
        <w:rPr>
          <w:rFonts w:hint="default" w:ascii="Times New Roman" w:hAnsi="Times New Roman" w:eastAsia="宋体" w:cs="Times New Roman"/>
          <w:color w:val="auto"/>
          <w:highlight w:val="none"/>
          <w:lang w:val="en-US" w:eastAsia="zh-CN"/>
        </w:rPr>
        <w:t>Cs</w:t>
      </w:r>
      <w:r>
        <w:rPr>
          <w:rFonts w:hint="eastAsia" w:ascii="Times New Roman" w:hAnsi="Times New Roman" w:eastAsia="宋体" w:cs="Times New Roman"/>
          <w:color w:val="auto"/>
          <w:highlight w:val="none"/>
          <w:lang w:val="en-US" w:eastAsia="zh-CN"/>
        </w:rPr>
        <w:t>、</w:t>
      </w:r>
      <w:r>
        <w:rPr>
          <w:rFonts w:hint="default" w:ascii="Times New Roman" w:hAnsi="Times New Roman" w:cs="Times New Roman"/>
          <w:b/>
          <w:bCs/>
          <w:color w:val="auto"/>
          <w:highlight w:val="none"/>
          <w:lang w:val="en-US" w:eastAsia="zh-CN"/>
        </w:rPr>
        <w:t>S</w:t>
      </w:r>
      <w:r>
        <w:rPr>
          <w:rFonts w:hint="default" w:cs="Times New Roman"/>
          <w:color w:val="auto"/>
          <w:highlight w:val="none"/>
          <w:lang w:val="en-US" w:eastAsia="zh-CN"/>
        </w:rPr>
        <w:t>VO</w:t>
      </w:r>
      <w:r>
        <w:rPr>
          <w:rFonts w:hint="default" w:ascii="Times New Roman" w:hAnsi="Times New Roman" w:eastAsia="宋体" w:cs="Times New Roman"/>
          <w:color w:val="auto"/>
          <w:highlight w:val="none"/>
          <w:lang w:val="en-US" w:eastAsia="zh-CN"/>
        </w:rPr>
        <w:t>Cs</w:t>
      </w:r>
      <w:r>
        <w:rPr>
          <w:rFonts w:hint="eastAsia" w:cs="Times New Roman"/>
          <w:color w:val="auto"/>
          <w:highlight w:val="none"/>
          <w:lang w:val="en-US" w:eastAsia="zh-CN"/>
        </w:rPr>
        <w:t>均未检出，表明区域地下水环境质量状况良好，该厂区历史生产活动未对该区域地下水产生影响。</w:t>
      </w:r>
    </w:p>
    <w:p>
      <w:pPr>
        <w:keepNext w:val="0"/>
        <w:keepLines w:val="0"/>
        <w:pageBreakBefore w:val="0"/>
        <w:widowControl/>
        <w:suppressLineNumbers w:val="0"/>
        <w:kinsoku/>
        <w:wordWrap/>
        <w:overflowPunct/>
        <w:topLinePunct w:val="0"/>
        <w:autoSpaceDE/>
        <w:autoSpaceDN/>
        <w:bidi w:val="0"/>
        <w:adjustRightInd w:val="0"/>
        <w:snapToGrid w:val="0"/>
        <w:jc w:val="left"/>
        <w:textAlignment w:val="auto"/>
        <w:rPr>
          <w:rFonts w:hint="default" w:ascii="Times New Roman" w:hAnsi="Times New Roman" w:eastAsia="宋体" w:cs="Times New Roman"/>
          <w:color w:val="auto"/>
          <w:kern w:val="0"/>
          <w:sz w:val="24"/>
          <w:szCs w:val="24"/>
          <w:lang w:val="en-US" w:eastAsia="zh-CN" w:bidi="ar"/>
        </w:rPr>
      </w:pPr>
    </w:p>
    <w:p>
      <w:pPr>
        <w:pStyle w:val="5"/>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 xml:space="preserve"> 调查结论</w:t>
      </w:r>
      <w:bookmarkEnd w:id="36"/>
      <w:bookmarkEnd w:id="37"/>
      <w:bookmarkEnd w:id="38"/>
      <w:bookmarkEnd w:id="39"/>
      <w:bookmarkEnd w:id="40"/>
      <w:bookmarkEnd w:id="41"/>
      <w:bookmarkEnd w:id="42"/>
      <w:bookmarkEnd w:id="43"/>
      <w:bookmarkEnd w:id="44"/>
      <w:bookmarkEnd w:id="45"/>
      <w:bookmarkEnd w:id="46"/>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eastAsia="宋体" w:cs="Times New Roman"/>
          <w:color w:val="auto"/>
          <w:lang w:eastAsia="zh-CN"/>
        </w:rPr>
      </w:pPr>
      <w:r>
        <w:rPr>
          <w:rFonts w:hint="default" w:ascii="Times New Roman" w:hAnsi="Times New Roman" w:cs="Times New Roman"/>
          <w:color w:val="auto"/>
        </w:rPr>
        <w:t>本</w:t>
      </w:r>
      <w:r>
        <w:rPr>
          <w:rFonts w:hint="default" w:ascii="Times New Roman" w:hAnsi="Times New Roman" w:cs="Times New Roman"/>
          <w:color w:val="auto"/>
          <w:lang w:eastAsia="zh-CN"/>
        </w:rPr>
        <w:t>土壤污染状况</w:t>
      </w:r>
      <w:r>
        <w:rPr>
          <w:rFonts w:hint="default" w:ascii="Times New Roman" w:hAnsi="Times New Roman" w:cs="Times New Roman"/>
          <w:color w:val="auto"/>
        </w:rPr>
        <w:t>项目土壤中重点监测</w:t>
      </w:r>
      <w:r>
        <w:rPr>
          <w:rFonts w:hint="eastAsia" w:cs="Times New Roman"/>
          <w:color w:val="auto"/>
          <w:lang w:val="en-US" w:eastAsia="zh-CN"/>
        </w:rPr>
        <w:t>pH、</w:t>
      </w:r>
      <w:r>
        <w:rPr>
          <w:rFonts w:hint="default" w:ascii="Times New Roman" w:hAnsi="Times New Roman" w:cs="Times New Roman"/>
          <w:color w:val="auto"/>
        </w:rPr>
        <w:t>45项基本因子</w:t>
      </w:r>
      <w:r>
        <w:rPr>
          <w:rFonts w:hint="eastAsia" w:cs="Times New Roman"/>
          <w:color w:val="auto"/>
          <w:lang w:eastAsia="zh-CN"/>
        </w:rPr>
        <w:t>、</w:t>
      </w:r>
      <w:r>
        <w:rPr>
          <w:rFonts w:hint="default" w:cs="Times New Roman"/>
          <w:color w:val="auto"/>
          <w:lang w:eastAsia="zh-CN"/>
        </w:rPr>
        <w:t>多环芳烃。</w:t>
      </w:r>
      <w:r>
        <w:rPr>
          <w:rFonts w:hint="default" w:ascii="Times New Roman" w:hAnsi="Times New Roman" w:cs="Times New Roman"/>
          <w:color w:val="auto"/>
        </w:rPr>
        <w:t>根据检测统计分析结果，</w:t>
      </w:r>
      <w:r>
        <w:rPr>
          <w:rFonts w:hint="default" w:ascii="Times New Roman" w:hAnsi="Times New Roman" w:cs="Times New Roman"/>
          <w:color w:val="auto"/>
          <w:highlight w:val="none"/>
          <w:lang w:val="en-US" w:eastAsia="zh-CN"/>
        </w:rPr>
        <w:t>所有土壤样品重金属因子均有检出，最大值出现在S3点位锅炉房及煤炭储存区附近，考虑与煤炭遗撒与锅炉含煤烟尘的大气沉降有关；六价铬、VOCs、SVOCs、多环芳烃全部未检出。判断本地块内土壤受到地块历史生产活动的一定影响</w:t>
      </w:r>
      <w:r>
        <w:rPr>
          <w:rFonts w:hint="eastAsia" w:cs="Times New Roman"/>
          <w:color w:val="auto"/>
          <w:highlight w:val="none"/>
          <w:lang w:val="en-US" w:eastAsia="zh-CN"/>
        </w:rPr>
        <w:t>，</w:t>
      </w:r>
      <w:r>
        <w:rPr>
          <w:rFonts w:hint="default" w:ascii="Times New Roman" w:hAnsi="Times New Roman" w:cs="Times New Roman"/>
          <w:color w:val="auto"/>
        </w:rPr>
        <w:t>但各因子的最大检出浓度均未超过本次地块环境调查所选用的筛选值，满足《土壤环境质量 建设用地土壤污染风险管控标准（试行）》（GB 36600</w:t>
      </w:r>
      <w:r>
        <w:rPr>
          <w:rFonts w:hint="eastAsia" w:cs="Times New Roman"/>
          <w:color w:val="auto"/>
          <w:lang w:eastAsia="zh-CN"/>
        </w:rPr>
        <w:t>-</w:t>
      </w:r>
      <w:r>
        <w:rPr>
          <w:rFonts w:hint="default" w:ascii="Times New Roman" w:hAnsi="Times New Roman" w:cs="Times New Roman"/>
          <w:color w:val="auto"/>
        </w:rPr>
        <w:t>2018）中第</w:t>
      </w:r>
      <w:r>
        <w:rPr>
          <w:rFonts w:hint="eastAsia" w:cs="Times New Roman"/>
          <w:color w:val="auto"/>
          <w:lang w:eastAsia="zh-CN"/>
        </w:rPr>
        <w:t>一</w:t>
      </w:r>
      <w:r>
        <w:rPr>
          <w:rFonts w:hint="default" w:ascii="Times New Roman" w:hAnsi="Times New Roman" w:cs="Times New Roman"/>
          <w:color w:val="auto"/>
        </w:rPr>
        <w:t>类用地相关标准</w:t>
      </w:r>
      <w:r>
        <w:rPr>
          <w:rFonts w:hint="eastAsia" w:cs="Times New Roman"/>
          <w:color w:val="auto"/>
          <w:lang w:eastAsia="zh-CN"/>
        </w:rPr>
        <w:t>，</w:t>
      </w:r>
      <w:r>
        <w:rPr>
          <w:rFonts w:hint="eastAsia" w:cs="Times New Roman"/>
          <w:color w:val="auto"/>
          <w:lang w:val="en-US" w:eastAsia="zh-CN"/>
        </w:rPr>
        <w:t>不属于污染地块</w:t>
      </w:r>
      <w:r>
        <w:rPr>
          <w:rFonts w:hint="default" w:ascii="Times New Roman" w:hAnsi="Times New Roman" w:cs="Times New Roman"/>
          <w:color w:val="auto"/>
          <w:lang w:eastAsia="zh-CN"/>
        </w:rPr>
        <w:t>。</w:t>
      </w:r>
      <w:r>
        <w:rPr>
          <w:rFonts w:hint="default" w:ascii="Times New Roman" w:hAnsi="Times New Roman" w:cs="Times New Roman"/>
          <w:color w:val="auto"/>
        </w:rPr>
        <w:t>根据《建设用地土壤污染状况调查技术导则》（HJ 25.1</w:t>
      </w:r>
      <w:r>
        <w:rPr>
          <w:rFonts w:hint="eastAsia" w:cs="Times New Roman"/>
          <w:color w:val="auto"/>
          <w:lang w:eastAsia="zh-CN"/>
        </w:rPr>
        <w:t>-</w:t>
      </w:r>
      <w:r>
        <w:rPr>
          <w:rFonts w:hint="default" w:ascii="Times New Roman" w:hAnsi="Times New Roman" w:cs="Times New Roman"/>
          <w:color w:val="auto"/>
        </w:rPr>
        <w:t>2019），地块调查工作到该阶段（技术路线第二阶段）结束</w:t>
      </w:r>
      <w:r>
        <w:rPr>
          <w:rFonts w:hint="default" w:ascii="Times New Roman" w:hAnsi="Times New Roman" w:cs="Times New Roman"/>
          <w:color w:val="auto"/>
          <w:lang w:val="en-US" w:eastAsia="zh-CN"/>
        </w:rPr>
        <w:t>。</w:t>
      </w:r>
    </w:p>
    <w:p>
      <w:pPr>
        <w:ind w:firstLine="480"/>
        <w:rPr>
          <w:rFonts w:hint="default" w:ascii="Times New Roman" w:hAnsi="Times New Roman" w:cs="Times New Roman" w:eastAsiaTheme="minorEastAsia"/>
          <w:color w:val="auto"/>
          <w:lang w:eastAsia="zh-CN"/>
        </w:rPr>
      </w:pPr>
      <w:r>
        <w:rPr>
          <w:rFonts w:hint="default" w:cs="Times New Roman"/>
          <w:color w:val="auto"/>
          <w:lang w:eastAsia="zh-CN"/>
        </w:rPr>
        <w:t>该地块</w:t>
      </w:r>
      <w:r>
        <w:rPr>
          <w:rFonts w:hint="eastAsia"/>
          <w:color w:val="auto"/>
          <w:highlight w:val="none"/>
          <w:lang w:eastAsia="zh-CN"/>
        </w:rPr>
        <w:t>暂无土地利用规划</w:t>
      </w:r>
      <w:r>
        <w:rPr>
          <w:rFonts w:cs="Times New Roman" w:eastAsiaTheme="minorEastAsia"/>
          <w:color w:val="auto"/>
        </w:rPr>
        <w:t>，</w:t>
      </w:r>
      <w:r>
        <w:rPr>
          <w:rFonts w:hint="eastAsia"/>
          <w:color w:val="auto"/>
          <w:highlight w:val="none"/>
          <w:lang w:eastAsia="zh-CN"/>
        </w:rPr>
        <w:t>地块位于</w:t>
      </w:r>
      <w:r>
        <w:rPr>
          <w:rFonts w:hint="eastAsia" w:cs="Times New Roman"/>
          <w:color w:val="auto"/>
          <w:sz w:val="24"/>
          <w:highlight w:val="none"/>
          <w:lang w:eastAsia="zh-CN"/>
        </w:rPr>
        <w:t>沧县薛官屯乡范庄子村，处于居民区，</w:t>
      </w:r>
      <w:r>
        <w:rPr>
          <w:rFonts w:hint="default" w:ascii="Times New Roman" w:hAnsi="Times New Roman" w:cs="Times New Roman"/>
          <w:color w:val="auto"/>
        </w:rPr>
        <w:t>该地块土壤污染状况评价根据《土壤环境质量 建设用地土壤污染风险管控标准（试行）》（GB36600</w:t>
      </w:r>
      <w:r>
        <w:rPr>
          <w:rFonts w:hint="eastAsia" w:ascii="Times New Roman" w:hAnsi="Times New Roman" w:cs="Times New Roman"/>
          <w:color w:val="auto"/>
          <w:lang w:val="en-US" w:eastAsia="zh-CN"/>
        </w:rPr>
        <w:t>-</w:t>
      </w:r>
      <w:r>
        <w:rPr>
          <w:rFonts w:hint="default" w:ascii="Times New Roman" w:hAnsi="Times New Roman" w:cs="Times New Roman"/>
          <w:color w:val="auto"/>
        </w:rPr>
        <w:t>2018）中</w:t>
      </w:r>
      <w:r>
        <w:rPr>
          <w:rFonts w:hint="eastAsia" w:cs="Times New Roman"/>
          <w:color w:val="auto"/>
          <w:lang w:eastAsia="zh-CN"/>
        </w:rPr>
        <w:t>居住用地</w:t>
      </w:r>
      <w:r>
        <w:rPr>
          <w:rFonts w:hint="default" w:ascii="Times New Roman" w:hAnsi="Times New Roman" w:cs="Times New Roman"/>
          <w:color w:val="auto"/>
        </w:rPr>
        <w:t>要求进行。</w:t>
      </w:r>
      <w:r>
        <w:rPr>
          <w:rFonts w:cs="Times New Roman" w:eastAsiaTheme="minorEastAsia"/>
          <w:color w:val="auto"/>
        </w:rPr>
        <w:t>根据监测结果分析，本</w:t>
      </w:r>
      <w:r>
        <w:rPr>
          <w:rFonts w:hint="default" w:cs="Times New Roman" w:eastAsiaTheme="minorEastAsia"/>
          <w:color w:val="auto"/>
          <w:lang w:eastAsia="zh-CN"/>
        </w:rPr>
        <w:t>地块</w:t>
      </w:r>
      <w:r>
        <w:rPr>
          <w:rFonts w:cs="Times New Roman" w:eastAsiaTheme="minorEastAsia"/>
          <w:color w:val="auto"/>
        </w:rPr>
        <w:t>达到</w:t>
      </w:r>
      <w:r>
        <w:rPr>
          <w:rFonts w:hint="eastAsia" w:cs="Times New Roman"/>
          <w:color w:val="auto"/>
          <w:lang w:eastAsia="zh-CN"/>
        </w:rPr>
        <w:t>居住</w:t>
      </w:r>
      <w:r>
        <w:rPr>
          <w:rFonts w:cs="Times New Roman" w:eastAsiaTheme="minorEastAsia"/>
          <w:color w:val="auto"/>
        </w:rPr>
        <w:t>用地标准，因此本</w:t>
      </w:r>
      <w:r>
        <w:rPr>
          <w:rFonts w:hint="eastAsia" w:cs="Times New Roman" w:eastAsiaTheme="minorEastAsia"/>
          <w:color w:val="auto"/>
          <w:lang w:eastAsia="zh-CN"/>
        </w:rPr>
        <w:t>地块</w:t>
      </w:r>
      <w:r>
        <w:rPr>
          <w:rFonts w:cs="Times New Roman" w:eastAsiaTheme="minorEastAsia"/>
          <w:color w:val="auto"/>
        </w:rPr>
        <w:t>可作为</w:t>
      </w:r>
      <w:r>
        <w:rPr>
          <w:rFonts w:hint="eastAsia" w:cs="Times New Roman"/>
          <w:color w:val="auto"/>
          <w:lang w:eastAsia="zh-CN"/>
        </w:rPr>
        <w:t>居住</w:t>
      </w:r>
      <w:r>
        <w:rPr>
          <w:rFonts w:cs="Times New Roman" w:eastAsiaTheme="minorEastAsia"/>
          <w:color w:val="auto"/>
        </w:rPr>
        <w:t>用地</w:t>
      </w:r>
      <w:r>
        <w:rPr>
          <w:rFonts w:hint="eastAsia" w:cs="Times New Roman" w:eastAsiaTheme="minorEastAsia"/>
          <w:color w:val="auto"/>
          <w:lang w:eastAsia="zh-CN"/>
        </w:rPr>
        <w:t>使用</w:t>
      </w:r>
      <w:r>
        <w:rPr>
          <w:rFonts w:hint="default" w:cs="Times New Roman" w:eastAsiaTheme="minorEastAsia"/>
          <w:color w:val="auto"/>
          <w:lang w:eastAsia="zh-CN"/>
        </w:rPr>
        <w:t>。</w:t>
      </w:r>
    </w:p>
    <w:p>
      <w:pPr>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527B4"/>
    <w:rsid w:val="24A07D86"/>
    <w:rsid w:val="63BA2DC0"/>
    <w:rsid w:val="70152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4">
    <w:name w:val="heading 1"/>
    <w:basedOn w:val="1"/>
    <w:next w:val="1"/>
    <w:qFormat/>
    <w:uiPriority w:val="0"/>
    <w:pPr>
      <w:spacing w:before="180" w:after="180" w:line="520" w:lineRule="atLeast"/>
      <w:ind w:left="0" w:firstLine="0" w:firstLineChars="0"/>
      <w:outlineLvl w:val="0"/>
    </w:pPr>
    <w:rPr>
      <w:b/>
      <w:bCs/>
      <w:sz w:val="32"/>
      <w:szCs w:val="32"/>
    </w:rPr>
  </w:style>
  <w:style w:type="paragraph" w:styleId="5">
    <w:name w:val="heading 3"/>
    <w:basedOn w:val="1"/>
    <w:next w:val="1"/>
    <w:unhideWhenUsed/>
    <w:qFormat/>
    <w:uiPriority w:val="0"/>
    <w:pPr>
      <w:keepNext/>
      <w:keepLines/>
      <w:spacing w:before="60" w:after="60" w:line="520" w:lineRule="exact"/>
      <w:ind w:firstLine="0" w:firstLineChars="0"/>
      <w:jc w:val="left"/>
      <w:outlineLvl w:val="2"/>
    </w:pPr>
    <w:rPr>
      <w:rFonts w:ascii="Times New Roman" w:hAnsi="Times New Roman" w:eastAsia="宋体"/>
      <w:b/>
      <w:sz w:val="28"/>
    </w:rPr>
  </w:style>
  <w:style w:type="paragraph" w:styleId="3">
    <w:name w:val="heading 4"/>
    <w:basedOn w:val="1"/>
    <w:next w:val="1"/>
    <w:unhideWhenUsed/>
    <w:qFormat/>
    <w:uiPriority w:val="0"/>
    <w:pPr>
      <w:keepNext/>
      <w:keepLines/>
      <w:adjustRightInd w:val="0"/>
      <w:snapToGrid w:val="0"/>
      <w:ind w:firstLine="0" w:firstLineChars="0"/>
      <w:jc w:val="left"/>
      <w:outlineLvl w:val="3"/>
    </w:pPr>
    <w:rPr>
      <w:rFonts w:ascii="Times New Roman" w:hAnsi="Times New Roman" w:eastAsia="宋体" w:cs="Times New Roman"/>
      <w:bCs/>
      <w:szCs w:val="28"/>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6">
    <w:name w:val="Body Text"/>
    <w:basedOn w:val="1"/>
    <w:qFormat/>
    <w:uiPriority w:val="0"/>
    <w:pPr>
      <w:snapToGrid w:val="0"/>
      <w:jc w:val="center"/>
    </w:pPr>
    <w:rPr>
      <w:rFonts w:ascii="Arial" w:hAnsi="Arial"/>
      <w:szCs w:val="20"/>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2"/>
    <w:basedOn w:val="1"/>
    <w:next w:val="1"/>
    <w:qFormat/>
    <w:uiPriority w:val="0"/>
    <w:pPr>
      <w:ind w:left="420" w:leftChars="200"/>
    </w:p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2020-06-16T07:28:00Z</dcterms:created>
  <dc:creator>Administrator</dc:creator>
  <cp:lastModifiedBy>小雨</cp:lastModifiedBy>
  <dcterms:modified xsi:type="dcterms:W3CDTF">2020-10-12T08:47:46Z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